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A5" w:rsidRPr="00665BCF" w:rsidRDefault="008F314F" w:rsidP="00610BA5">
      <w:pPr>
        <w:rPr>
          <w:rFonts w:ascii="Arial" w:hAnsi="Arial" w:cs="Arial"/>
          <w:color w:val="FFFFFF"/>
          <w:sz w:val="16"/>
          <w:szCs w:val="16"/>
          <w:lang w:val="hr-HR"/>
        </w:rPr>
      </w:pPr>
      <w:r w:rsidRPr="00665BCF">
        <w:rPr>
          <w:szCs w:val="16"/>
          <w:lang w:val="hr-HR"/>
        </w:rPr>
        <w:drawing>
          <wp:inline distT="0" distB="0" distL="0" distR="0" wp14:anchorId="5B8FEFC1" wp14:editId="3BEDA6CE">
            <wp:extent cx="5760720" cy="122883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228837"/>
                    </a:xfrm>
                    <a:prstGeom prst="rect">
                      <a:avLst/>
                    </a:prstGeom>
                    <a:noFill/>
                    <a:ln>
                      <a:noFill/>
                    </a:ln>
                  </pic:spPr>
                </pic:pic>
              </a:graphicData>
            </a:graphic>
          </wp:inline>
        </w:drawing>
      </w:r>
    </w:p>
    <w:tbl>
      <w:tblPr>
        <w:tblW w:w="0" w:type="auto"/>
        <w:tblLook w:val="01E0" w:firstRow="1" w:lastRow="1" w:firstColumn="1" w:lastColumn="1" w:noHBand="0" w:noVBand="0"/>
      </w:tblPr>
      <w:tblGrid>
        <w:gridCol w:w="1564"/>
        <w:gridCol w:w="3164"/>
      </w:tblGrid>
      <w:tr w:rsidR="00610BA5" w:rsidRPr="00665BCF" w:rsidTr="00610BA5">
        <w:tc>
          <w:tcPr>
            <w:tcW w:w="1564" w:type="dxa"/>
            <w:hideMark/>
          </w:tcPr>
          <w:p w:rsidR="008F314F" w:rsidRPr="00665BCF" w:rsidRDefault="008F314F">
            <w:pPr>
              <w:rPr>
                <w:rFonts w:ascii="Arial" w:hAnsi="Arial" w:cs="Arial"/>
                <w:b/>
                <w:sz w:val="18"/>
                <w:szCs w:val="18"/>
                <w:lang w:val="hr-HR"/>
              </w:rPr>
            </w:pPr>
          </w:p>
          <w:p w:rsidR="008F314F" w:rsidRPr="00665BCF" w:rsidRDefault="008F314F">
            <w:pPr>
              <w:rPr>
                <w:rFonts w:ascii="Arial" w:hAnsi="Arial" w:cs="Arial"/>
                <w:b/>
                <w:sz w:val="18"/>
                <w:szCs w:val="18"/>
                <w:lang w:val="hr-HR"/>
              </w:rPr>
            </w:pPr>
          </w:p>
          <w:p w:rsidR="00610BA5" w:rsidRPr="00665BCF" w:rsidRDefault="00610BA5">
            <w:pPr>
              <w:rPr>
                <w:rFonts w:ascii="Arial" w:hAnsi="Arial" w:cs="Arial"/>
                <w:b/>
                <w:sz w:val="18"/>
                <w:szCs w:val="18"/>
                <w:lang w:val="hr-HR"/>
              </w:rPr>
            </w:pPr>
            <w:r w:rsidRPr="00665BCF">
              <w:rPr>
                <w:rFonts w:ascii="Arial" w:hAnsi="Arial" w:cs="Arial"/>
                <w:b/>
                <w:sz w:val="18"/>
                <w:szCs w:val="18"/>
                <w:lang w:val="hr-HR"/>
              </w:rPr>
              <w:t>Broj predmeta:</w:t>
            </w:r>
          </w:p>
        </w:tc>
        <w:tc>
          <w:tcPr>
            <w:tcW w:w="3164" w:type="dxa"/>
            <w:shd w:val="clear" w:color="auto" w:fill="FFFFFF"/>
            <w:hideMark/>
          </w:tcPr>
          <w:p w:rsidR="008F314F" w:rsidRPr="00665BCF" w:rsidRDefault="008F314F">
            <w:pPr>
              <w:rPr>
                <w:lang w:val="hr-HR"/>
              </w:rPr>
            </w:pPr>
            <w:bookmarkStart w:id="0" w:name="BrojPredmeta"/>
          </w:p>
          <w:p w:rsidR="008F314F" w:rsidRPr="00665BCF" w:rsidRDefault="008F314F">
            <w:pPr>
              <w:rPr>
                <w:lang w:val="hr-HR"/>
              </w:rPr>
            </w:pPr>
          </w:p>
          <w:p w:rsidR="00610BA5" w:rsidRPr="00665BCF" w:rsidRDefault="00610BA5">
            <w:pPr>
              <w:rPr>
                <w:rFonts w:ascii="Arial" w:hAnsi="Arial" w:cs="Arial"/>
                <w:b/>
                <w:sz w:val="18"/>
                <w:szCs w:val="18"/>
                <w:lang w:val="hr-HR"/>
              </w:rPr>
            </w:pPr>
            <w:r w:rsidRPr="00665BCF">
              <w:rPr>
                <w:lang w:val="hr-HR"/>
              </w:rPr>
              <w:fldChar w:fldCharType="begin">
                <w:ffData>
                  <w:name w:val="BrojPredmeta"/>
                  <w:enabled/>
                  <w:calcOnExit w:val="0"/>
                  <w:textInput>
                    <w:default w:val="35-000002/22"/>
                  </w:textInput>
                </w:ffData>
              </w:fldChar>
            </w:r>
            <w:r w:rsidRPr="00665BCF">
              <w:rPr>
                <w:rFonts w:ascii="Arial" w:hAnsi="Arial" w:cs="Arial"/>
                <w:b/>
                <w:sz w:val="18"/>
                <w:szCs w:val="18"/>
                <w:lang w:val="hr-HR"/>
              </w:rPr>
              <w:instrText xml:space="preserve"> FORMTEXT </w:instrText>
            </w:r>
            <w:r w:rsidRPr="00665BCF">
              <w:rPr>
                <w:lang w:val="hr-HR"/>
              </w:rPr>
            </w:r>
            <w:r w:rsidRPr="00665BCF">
              <w:rPr>
                <w:lang w:val="hr-HR"/>
              </w:rPr>
              <w:fldChar w:fldCharType="separate"/>
            </w:r>
            <w:r w:rsidRPr="00665BCF">
              <w:rPr>
                <w:rFonts w:ascii="Arial" w:hAnsi="Arial" w:cs="Arial"/>
                <w:b/>
                <w:sz w:val="18"/>
                <w:szCs w:val="18"/>
                <w:lang w:val="hr-HR"/>
              </w:rPr>
              <w:t>35-000002/22</w:t>
            </w:r>
            <w:r w:rsidRPr="00665BCF">
              <w:rPr>
                <w:lang w:val="hr-HR"/>
              </w:rPr>
              <w:fldChar w:fldCharType="end"/>
            </w:r>
            <w:bookmarkEnd w:id="0"/>
          </w:p>
        </w:tc>
      </w:tr>
      <w:tr w:rsidR="00610BA5" w:rsidRPr="00665BCF" w:rsidTr="00610BA5">
        <w:tc>
          <w:tcPr>
            <w:tcW w:w="1564" w:type="dxa"/>
          </w:tcPr>
          <w:p w:rsidR="00610BA5" w:rsidRPr="00665BCF" w:rsidRDefault="00610BA5">
            <w:pPr>
              <w:rPr>
                <w:rFonts w:ascii="Arial" w:hAnsi="Arial" w:cs="Arial"/>
                <w:b/>
                <w:sz w:val="2"/>
                <w:szCs w:val="2"/>
                <w:lang w:val="hr-HR"/>
              </w:rPr>
            </w:pPr>
          </w:p>
          <w:p w:rsidR="00610BA5" w:rsidRPr="00665BCF" w:rsidRDefault="00610BA5">
            <w:pPr>
              <w:rPr>
                <w:rFonts w:ascii="Arial" w:hAnsi="Arial" w:cs="Arial"/>
                <w:b/>
                <w:sz w:val="2"/>
                <w:szCs w:val="2"/>
                <w:lang w:val="hr-HR"/>
              </w:rPr>
            </w:pPr>
          </w:p>
        </w:tc>
        <w:tc>
          <w:tcPr>
            <w:tcW w:w="3164" w:type="dxa"/>
          </w:tcPr>
          <w:p w:rsidR="00610BA5" w:rsidRPr="00665BCF" w:rsidRDefault="00610BA5">
            <w:pPr>
              <w:rPr>
                <w:rFonts w:ascii="Arial" w:hAnsi="Arial" w:cs="Arial"/>
                <w:b/>
                <w:sz w:val="2"/>
                <w:szCs w:val="2"/>
                <w:highlight w:val="lightGray"/>
                <w:lang w:val="hr-HR"/>
              </w:rPr>
            </w:pPr>
          </w:p>
        </w:tc>
      </w:tr>
      <w:tr w:rsidR="00610BA5" w:rsidRPr="00665BCF" w:rsidTr="00610BA5">
        <w:tc>
          <w:tcPr>
            <w:tcW w:w="1564" w:type="dxa"/>
            <w:hideMark/>
          </w:tcPr>
          <w:p w:rsidR="00610BA5" w:rsidRPr="00665BCF" w:rsidRDefault="00610BA5">
            <w:pPr>
              <w:rPr>
                <w:rFonts w:ascii="Arial" w:hAnsi="Arial" w:cs="Arial"/>
                <w:b/>
                <w:sz w:val="18"/>
                <w:szCs w:val="18"/>
                <w:lang w:val="hr-HR"/>
              </w:rPr>
            </w:pPr>
            <w:r w:rsidRPr="00665BCF">
              <w:rPr>
                <w:rFonts w:ascii="Arial" w:hAnsi="Arial" w:cs="Arial"/>
                <w:b/>
                <w:sz w:val="18"/>
                <w:szCs w:val="18"/>
                <w:lang w:val="hr-HR"/>
              </w:rPr>
              <w:t>Broj akta:</w:t>
            </w:r>
          </w:p>
        </w:tc>
        <w:bookmarkStart w:id="1" w:name="BrojDok"/>
        <w:tc>
          <w:tcPr>
            <w:tcW w:w="3164" w:type="dxa"/>
            <w:hideMark/>
          </w:tcPr>
          <w:p w:rsidR="00610BA5" w:rsidRPr="00665BCF" w:rsidRDefault="008F314F">
            <w:pPr>
              <w:rPr>
                <w:rFonts w:ascii="Arial" w:hAnsi="Arial" w:cs="Arial"/>
                <w:b/>
                <w:sz w:val="20"/>
                <w:szCs w:val="20"/>
                <w:lang w:val="hr-HR"/>
              </w:rPr>
            </w:pPr>
            <w:r w:rsidRPr="00665BCF">
              <w:rPr>
                <w:sz w:val="20"/>
                <w:szCs w:val="20"/>
                <w:lang w:val="hr-HR"/>
              </w:rPr>
              <w:fldChar w:fldCharType="begin">
                <w:ffData>
                  <w:name w:val="BrojDok"/>
                  <w:enabled/>
                  <w:calcOnExit w:val="0"/>
                  <w:textInput>
                    <w:default w:val="11-1417LI-001/22"/>
                  </w:textInput>
                </w:ffData>
              </w:fldChar>
            </w:r>
            <w:r w:rsidRPr="00665BCF">
              <w:rPr>
                <w:sz w:val="20"/>
                <w:szCs w:val="20"/>
                <w:lang w:val="hr-HR"/>
              </w:rPr>
              <w:instrText xml:space="preserve"> FORMTEXT </w:instrText>
            </w:r>
            <w:r w:rsidRPr="00665BCF">
              <w:rPr>
                <w:sz w:val="20"/>
                <w:szCs w:val="20"/>
                <w:lang w:val="hr-HR"/>
              </w:rPr>
            </w:r>
            <w:r w:rsidRPr="00665BCF">
              <w:rPr>
                <w:sz w:val="20"/>
                <w:szCs w:val="20"/>
                <w:lang w:val="hr-HR"/>
              </w:rPr>
              <w:fldChar w:fldCharType="separate"/>
            </w:r>
            <w:r w:rsidRPr="00665BCF">
              <w:rPr>
                <w:sz w:val="20"/>
                <w:szCs w:val="20"/>
                <w:lang w:val="hr-HR"/>
              </w:rPr>
              <w:t>11-1417LI-001/22</w:t>
            </w:r>
            <w:r w:rsidRPr="00665BCF">
              <w:rPr>
                <w:sz w:val="20"/>
                <w:szCs w:val="20"/>
                <w:lang w:val="hr-HR"/>
              </w:rPr>
              <w:fldChar w:fldCharType="end"/>
            </w:r>
            <w:bookmarkEnd w:id="1"/>
          </w:p>
        </w:tc>
      </w:tr>
      <w:tr w:rsidR="00610BA5" w:rsidRPr="00665BCF" w:rsidTr="00610BA5">
        <w:tc>
          <w:tcPr>
            <w:tcW w:w="1564" w:type="dxa"/>
          </w:tcPr>
          <w:p w:rsidR="00610BA5" w:rsidRPr="00665BCF" w:rsidRDefault="00610BA5">
            <w:pPr>
              <w:rPr>
                <w:rFonts w:ascii="Arial" w:hAnsi="Arial" w:cs="Arial"/>
                <w:b/>
                <w:sz w:val="2"/>
                <w:szCs w:val="2"/>
                <w:lang w:val="hr-HR"/>
              </w:rPr>
            </w:pPr>
          </w:p>
          <w:p w:rsidR="00610BA5" w:rsidRPr="00665BCF" w:rsidRDefault="00610BA5">
            <w:pPr>
              <w:rPr>
                <w:rFonts w:ascii="Arial" w:hAnsi="Arial" w:cs="Arial"/>
                <w:b/>
                <w:sz w:val="2"/>
                <w:szCs w:val="2"/>
                <w:lang w:val="hr-HR"/>
              </w:rPr>
            </w:pPr>
          </w:p>
          <w:p w:rsidR="00610BA5" w:rsidRPr="00665BCF" w:rsidRDefault="00610BA5">
            <w:pPr>
              <w:rPr>
                <w:rFonts w:ascii="Arial" w:hAnsi="Arial" w:cs="Arial"/>
                <w:b/>
                <w:sz w:val="2"/>
                <w:szCs w:val="2"/>
                <w:lang w:val="hr-HR"/>
              </w:rPr>
            </w:pPr>
          </w:p>
        </w:tc>
        <w:tc>
          <w:tcPr>
            <w:tcW w:w="3164" w:type="dxa"/>
          </w:tcPr>
          <w:p w:rsidR="00610BA5" w:rsidRPr="00665BCF" w:rsidRDefault="00610BA5">
            <w:pPr>
              <w:rPr>
                <w:rFonts w:ascii="Arial" w:hAnsi="Arial" w:cs="Arial"/>
                <w:b/>
                <w:sz w:val="2"/>
                <w:szCs w:val="2"/>
                <w:lang w:val="hr-HR"/>
              </w:rPr>
            </w:pPr>
          </w:p>
          <w:p w:rsidR="00610BA5" w:rsidRPr="00665BCF" w:rsidRDefault="00610BA5">
            <w:pPr>
              <w:rPr>
                <w:rFonts w:ascii="Arial" w:hAnsi="Arial" w:cs="Arial"/>
                <w:b/>
                <w:sz w:val="2"/>
                <w:szCs w:val="2"/>
                <w:lang w:val="hr-HR"/>
              </w:rPr>
            </w:pPr>
          </w:p>
        </w:tc>
      </w:tr>
      <w:tr w:rsidR="00610BA5" w:rsidRPr="00665BCF" w:rsidTr="00610BA5">
        <w:tc>
          <w:tcPr>
            <w:tcW w:w="1564" w:type="dxa"/>
            <w:hideMark/>
          </w:tcPr>
          <w:p w:rsidR="00610BA5" w:rsidRPr="00665BCF" w:rsidRDefault="00610BA5">
            <w:pPr>
              <w:rPr>
                <w:rFonts w:ascii="Arial" w:hAnsi="Arial" w:cs="Arial"/>
                <w:sz w:val="18"/>
                <w:szCs w:val="18"/>
                <w:lang w:val="hr-HR"/>
              </w:rPr>
            </w:pPr>
            <w:r w:rsidRPr="00665BCF">
              <w:rPr>
                <w:rFonts w:ascii="Arial" w:hAnsi="Arial" w:cs="Arial"/>
                <w:sz w:val="18"/>
                <w:szCs w:val="18"/>
                <w:lang w:val="hr-HR"/>
              </w:rPr>
              <w:t>Datum,</w:t>
            </w:r>
          </w:p>
        </w:tc>
        <w:bookmarkStart w:id="2" w:name="Datum"/>
        <w:tc>
          <w:tcPr>
            <w:tcW w:w="3164" w:type="dxa"/>
            <w:hideMark/>
          </w:tcPr>
          <w:p w:rsidR="00610BA5" w:rsidRPr="00665BCF" w:rsidRDefault="008F314F">
            <w:pPr>
              <w:rPr>
                <w:rFonts w:ascii="Arial" w:hAnsi="Arial" w:cs="Arial"/>
                <w:sz w:val="18"/>
                <w:szCs w:val="18"/>
                <w:lang w:val="hr-HR"/>
              </w:rPr>
            </w:pPr>
            <w:r w:rsidRPr="00665BCF">
              <w:rPr>
                <w:sz w:val="20"/>
                <w:szCs w:val="20"/>
                <w:lang w:val="hr-HR"/>
              </w:rPr>
              <w:fldChar w:fldCharType="begin">
                <w:ffData>
                  <w:name w:val="Datum"/>
                  <w:enabled/>
                  <w:calcOnExit w:val="0"/>
                  <w:textInput>
                    <w:default w:val="13.1.2022"/>
                  </w:textInput>
                </w:ffData>
              </w:fldChar>
            </w:r>
            <w:r w:rsidRPr="00665BCF">
              <w:rPr>
                <w:sz w:val="20"/>
                <w:szCs w:val="20"/>
                <w:lang w:val="hr-HR"/>
              </w:rPr>
              <w:instrText xml:space="preserve"> FORMTEXT </w:instrText>
            </w:r>
            <w:r w:rsidRPr="00665BCF">
              <w:rPr>
                <w:sz w:val="20"/>
                <w:szCs w:val="20"/>
                <w:lang w:val="hr-HR"/>
              </w:rPr>
            </w:r>
            <w:r w:rsidRPr="00665BCF">
              <w:rPr>
                <w:sz w:val="20"/>
                <w:szCs w:val="20"/>
                <w:lang w:val="hr-HR"/>
              </w:rPr>
              <w:fldChar w:fldCharType="separate"/>
            </w:r>
            <w:r w:rsidRPr="00665BCF">
              <w:rPr>
                <w:sz w:val="20"/>
                <w:szCs w:val="20"/>
                <w:lang w:val="hr-HR"/>
              </w:rPr>
              <w:t>13.1.2022</w:t>
            </w:r>
            <w:r w:rsidRPr="00665BCF">
              <w:rPr>
                <w:sz w:val="20"/>
                <w:szCs w:val="20"/>
                <w:lang w:val="hr-HR"/>
              </w:rPr>
              <w:fldChar w:fldCharType="end"/>
            </w:r>
            <w:bookmarkEnd w:id="2"/>
            <w:r w:rsidR="00610BA5" w:rsidRPr="00665BCF">
              <w:rPr>
                <w:rFonts w:ascii="Arial" w:hAnsi="Arial" w:cs="Arial"/>
                <w:sz w:val="18"/>
                <w:szCs w:val="18"/>
                <w:lang w:val="hr-HR"/>
              </w:rPr>
              <w:t>. godine</w:t>
            </w:r>
          </w:p>
        </w:tc>
      </w:tr>
      <w:tr w:rsidR="00610BA5" w:rsidRPr="00665BCF" w:rsidTr="00610BA5">
        <w:tc>
          <w:tcPr>
            <w:tcW w:w="1564" w:type="dxa"/>
            <w:hideMark/>
          </w:tcPr>
          <w:p w:rsidR="00610BA5" w:rsidRPr="00665BCF" w:rsidRDefault="00610BA5">
            <w:pPr>
              <w:rPr>
                <w:rFonts w:ascii="Arial" w:hAnsi="Arial" w:cs="Arial"/>
                <w:sz w:val="18"/>
                <w:szCs w:val="18"/>
                <w:lang w:val="hr-HR"/>
              </w:rPr>
            </w:pPr>
            <w:r w:rsidRPr="00665BCF">
              <w:rPr>
                <w:rFonts w:ascii="Arial" w:hAnsi="Arial" w:cs="Arial"/>
                <w:sz w:val="18"/>
                <w:szCs w:val="18"/>
                <w:lang w:val="hr-HR"/>
              </w:rPr>
              <w:t>Mjesto,</w:t>
            </w:r>
          </w:p>
        </w:tc>
        <w:tc>
          <w:tcPr>
            <w:tcW w:w="3164" w:type="dxa"/>
          </w:tcPr>
          <w:p w:rsidR="00610BA5" w:rsidRPr="00665BCF" w:rsidRDefault="00610BA5">
            <w:pPr>
              <w:rPr>
                <w:rFonts w:ascii="Arial" w:hAnsi="Arial" w:cs="Arial"/>
                <w:sz w:val="18"/>
                <w:szCs w:val="18"/>
                <w:lang w:val="hr-HR"/>
              </w:rPr>
            </w:pPr>
            <w:r w:rsidRPr="00665BCF">
              <w:rPr>
                <w:rFonts w:ascii="Arial" w:hAnsi="Arial" w:cs="Arial"/>
                <w:sz w:val="18"/>
                <w:szCs w:val="18"/>
                <w:lang w:val="hr-HR"/>
              </w:rPr>
              <w:t>Brčko</w:t>
            </w:r>
          </w:p>
          <w:p w:rsidR="00610BA5" w:rsidRPr="00665BCF" w:rsidRDefault="00610BA5">
            <w:pPr>
              <w:rPr>
                <w:rFonts w:ascii="Arial" w:hAnsi="Arial" w:cs="Arial"/>
                <w:sz w:val="18"/>
                <w:szCs w:val="18"/>
                <w:lang w:val="hr-HR"/>
              </w:rPr>
            </w:pPr>
          </w:p>
        </w:tc>
      </w:tr>
    </w:tbl>
    <w:p w:rsidR="00610BA5" w:rsidRPr="00665BCF" w:rsidRDefault="00610BA5" w:rsidP="00610BA5">
      <w:pPr>
        <w:autoSpaceDE w:val="0"/>
        <w:autoSpaceDN w:val="0"/>
        <w:adjustRightInd w:val="0"/>
        <w:jc w:val="both"/>
        <w:rPr>
          <w:color w:val="000000"/>
          <w:lang w:val="hr-HR" w:eastAsia="sr-Latn-CS"/>
        </w:rPr>
      </w:pPr>
      <w:r w:rsidRPr="00665BCF">
        <w:rPr>
          <w:lang w:val="hr-HR"/>
        </w:rPr>
        <w:t>Šefica Odjeljenja za raseljena lica, izbjeglice i stambena pitanja Vlade Brčko distrikta BiH, na osnovu člana 21. Zakona o Vladi Brčko distrikta Bosne i Hercegovine – prečišćeni tekst („Službeni glasnik Brčko distrikta BiH“, broj: 22/18 – preči</w:t>
      </w:r>
      <w:bookmarkStart w:id="3" w:name="_GoBack"/>
      <w:bookmarkEnd w:id="3"/>
      <w:r w:rsidRPr="00665BCF">
        <w:rPr>
          <w:lang w:val="hr-HR"/>
        </w:rPr>
        <w:t xml:space="preserve">šćeni tekst, 49/18, 8/1, 10/19 i 32/19) i člana 16. </w:t>
      </w:r>
      <w:proofErr w:type="spellStart"/>
      <w:r w:rsidRPr="00665BCF">
        <w:rPr>
          <w:color w:val="000000"/>
          <w:lang w:val="hr-HR" w:eastAsia="sr-Latn-CS"/>
        </w:rPr>
        <w:t>Uputstva</w:t>
      </w:r>
      <w:proofErr w:type="spellEnd"/>
      <w:r w:rsidRPr="00665BCF">
        <w:rPr>
          <w:color w:val="000000"/>
          <w:lang w:val="hr-HR" w:eastAsia="sr-Latn-CS"/>
        </w:rPr>
        <w:t xml:space="preserve"> o načinu i procedurama odabira korisnika projekata povratka i rekonstrukcije stambenih jedinica („Službeni glasnik Bosne i Hercegovine“, broj 48/06), objavljuje</w:t>
      </w:r>
    </w:p>
    <w:p w:rsidR="00610BA5" w:rsidRPr="00665BCF" w:rsidRDefault="00610BA5" w:rsidP="00610BA5">
      <w:pPr>
        <w:autoSpaceDE w:val="0"/>
        <w:autoSpaceDN w:val="0"/>
        <w:adjustRightInd w:val="0"/>
        <w:jc w:val="both"/>
        <w:rPr>
          <w:color w:val="000000"/>
          <w:lang w:val="hr-HR" w:eastAsia="sr-Latn-CS"/>
        </w:rPr>
      </w:pPr>
    </w:p>
    <w:p w:rsidR="00610BA5" w:rsidRPr="00665BCF" w:rsidRDefault="00610BA5" w:rsidP="00610BA5">
      <w:pPr>
        <w:autoSpaceDE w:val="0"/>
        <w:autoSpaceDN w:val="0"/>
        <w:adjustRightInd w:val="0"/>
        <w:jc w:val="center"/>
        <w:rPr>
          <w:b/>
          <w:bCs/>
          <w:color w:val="000000"/>
          <w:lang w:val="hr-HR" w:eastAsia="sr-Latn-CS"/>
        </w:rPr>
      </w:pPr>
      <w:r w:rsidRPr="00665BCF">
        <w:rPr>
          <w:b/>
          <w:bCs/>
          <w:color w:val="000000"/>
          <w:lang w:val="hr-HR" w:eastAsia="sr-Latn-CS"/>
        </w:rPr>
        <w:t>J A V N I   P O Z I V</w:t>
      </w:r>
    </w:p>
    <w:p w:rsidR="00610BA5" w:rsidRPr="00665BCF" w:rsidRDefault="00610BA5" w:rsidP="00610BA5">
      <w:pPr>
        <w:autoSpaceDE w:val="0"/>
        <w:autoSpaceDN w:val="0"/>
        <w:adjustRightInd w:val="0"/>
        <w:jc w:val="center"/>
        <w:rPr>
          <w:b/>
          <w:bCs/>
          <w:color w:val="000000"/>
          <w:lang w:val="hr-HR" w:eastAsia="sr-Latn-CS"/>
        </w:rPr>
      </w:pPr>
      <w:r w:rsidRPr="00665BCF">
        <w:rPr>
          <w:b/>
          <w:bCs/>
          <w:color w:val="000000"/>
          <w:lang w:val="hr-HR" w:eastAsia="sr-Latn-CS"/>
        </w:rPr>
        <w:t>izbjeglicama iz BiH, raseljenim licima u BiH i povratnicima za podnošenje</w:t>
      </w:r>
    </w:p>
    <w:p w:rsidR="00610BA5" w:rsidRPr="00665BCF" w:rsidRDefault="00610BA5" w:rsidP="00610BA5">
      <w:pPr>
        <w:autoSpaceDE w:val="0"/>
        <w:autoSpaceDN w:val="0"/>
        <w:adjustRightInd w:val="0"/>
        <w:jc w:val="center"/>
        <w:rPr>
          <w:b/>
          <w:bCs/>
          <w:color w:val="000000"/>
          <w:lang w:val="hr-HR" w:eastAsia="sr-Latn-CS"/>
        </w:rPr>
      </w:pPr>
      <w:r w:rsidRPr="00665BCF">
        <w:rPr>
          <w:b/>
          <w:bCs/>
          <w:color w:val="000000"/>
          <w:lang w:val="hr-HR" w:eastAsia="sr-Latn-CS"/>
        </w:rPr>
        <w:t>zahtjeva za obnovu individualnih stambenih objekata s ciljem povratka</w:t>
      </w:r>
    </w:p>
    <w:p w:rsidR="00610BA5" w:rsidRPr="00665BCF" w:rsidRDefault="00610BA5" w:rsidP="00610BA5">
      <w:pPr>
        <w:autoSpaceDE w:val="0"/>
        <w:autoSpaceDN w:val="0"/>
        <w:adjustRightInd w:val="0"/>
        <w:jc w:val="center"/>
        <w:rPr>
          <w:b/>
          <w:bCs/>
          <w:color w:val="000000"/>
          <w:lang w:val="hr-HR" w:eastAsia="sr-Latn-CS"/>
        </w:rPr>
      </w:pPr>
      <w:r w:rsidRPr="00665BCF">
        <w:rPr>
          <w:b/>
          <w:bCs/>
          <w:color w:val="000000"/>
          <w:lang w:val="hr-HR" w:eastAsia="sr-Latn-CS"/>
        </w:rPr>
        <w:t>u Brčko distrikt Bosne i Hercegovine</w:t>
      </w:r>
    </w:p>
    <w:p w:rsidR="00610BA5" w:rsidRPr="00665BCF" w:rsidRDefault="00610BA5" w:rsidP="00610BA5">
      <w:pPr>
        <w:autoSpaceDE w:val="0"/>
        <w:autoSpaceDN w:val="0"/>
        <w:adjustRightInd w:val="0"/>
        <w:jc w:val="center"/>
        <w:rPr>
          <w:b/>
          <w:bCs/>
          <w:color w:val="000000"/>
          <w:lang w:val="hr-HR" w:eastAsia="sr-Latn-CS"/>
        </w:rPr>
      </w:pPr>
    </w:p>
    <w:p w:rsidR="00610BA5" w:rsidRPr="00665BCF" w:rsidRDefault="00610BA5" w:rsidP="00610BA5">
      <w:pPr>
        <w:autoSpaceDE w:val="0"/>
        <w:autoSpaceDN w:val="0"/>
        <w:adjustRightInd w:val="0"/>
        <w:jc w:val="both"/>
        <w:rPr>
          <w:color w:val="000000"/>
          <w:lang w:val="hr-HR" w:eastAsia="sr-Latn-CS"/>
        </w:rPr>
      </w:pPr>
    </w:p>
    <w:p w:rsidR="00610BA5" w:rsidRPr="00665BCF" w:rsidRDefault="00610BA5" w:rsidP="00610BA5">
      <w:pPr>
        <w:autoSpaceDE w:val="0"/>
        <w:autoSpaceDN w:val="0"/>
        <w:adjustRightInd w:val="0"/>
        <w:jc w:val="both"/>
        <w:rPr>
          <w:lang w:val="hr-HR" w:eastAsia="sr-Latn-CS"/>
        </w:rPr>
      </w:pPr>
      <w:r w:rsidRPr="00665BCF">
        <w:rPr>
          <w:color w:val="000000"/>
          <w:lang w:val="hr-HR" w:eastAsia="sr-Latn-CS"/>
        </w:rPr>
        <w:t>Pomoć u obnovi i povratku izbjeglicama, raseljenim licima i povratnicima dodjeljuje se u okviru implementacije projekata obnove</w:t>
      </w:r>
      <w:r w:rsidRPr="00665BCF">
        <w:rPr>
          <w:b/>
          <w:bCs/>
          <w:color w:val="000000"/>
          <w:lang w:val="hr-HR" w:eastAsia="sr-Latn-CS"/>
        </w:rPr>
        <w:t xml:space="preserve"> </w:t>
      </w:r>
      <w:r w:rsidRPr="00665BCF">
        <w:rPr>
          <w:bCs/>
          <w:color w:val="000000"/>
          <w:lang w:val="hr-HR" w:eastAsia="sr-Latn-CS"/>
        </w:rPr>
        <w:t>individualnih</w:t>
      </w:r>
      <w:r w:rsidRPr="00665BCF">
        <w:rPr>
          <w:b/>
          <w:bCs/>
          <w:color w:val="000000"/>
          <w:lang w:val="hr-HR" w:eastAsia="sr-Latn-CS"/>
        </w:rPr>
        <w:t xml:space="preserve"> </w:t>
      </w:r>
      <w:r w:rsidRPr="00665BCF">
        <w:rPr>
          <w:bCs/>
          <w:color w:val="000000"/>
          <w:lang w:val="hr-HR" w:eastAsia="sr-Latn-CS"/>
        </w:rPr>
        <w:t xml:space="preserve">stambenih </w:t>
      </w:r>
      <w:r w:rsidRPr="00665BCF">
        <w:rPr>
          <w:bCs/>
          <w:lang w:val="hr-HR" w:eastAsia="sr-Latn-CS"/>
        </w:rPr>
        <w:t>objekata izbjeglica iz BiH, raseljenih lica i povratnika u Brčko distriktu Bosne i Hercegovine (u daljnjem tekstu: obnova stambenih jedinica)</w:t>
      </w:r>
      <w:r w:rsidRPr="00665BCF">
        <w:rPr>
          <w:lang w:val="hr-HR" w:eastAsia="sr-Latn-CS"/>
        </w:rPr>
        <w:t xml:space="preserve"> koji se </w:t>
      </w:r>
      <w:proofErr w:type="spellStart"/>
      <w:r w:rsidRPr="00665BCF">
        <w:rPr>
          <w:lang w:val="hr-HR" w:eastAsia="sr-Latn-CS"/>
        </w:rPr>
        <w:t>finansira</w:t>
      </w:r>
      <w:proofErr w:type="spellEnd"/>
      <w:r w:rsidRPr="00665BCF">
        <w:rPr>
          <w:lang w:val="hr-HR" w:eastAsia="sr-Latn-CS"/>
        </w:rPr>
        <w:t xml:space="preserve"> iz Budžeta Brčko distrikta</w:t>
      </w:r>
      <w:r w:rsidRPr="00665BCF">
        <w:rPr>
          <w:color w:val="000000"/>
          <w:lang w:val="hr-HR" w:eastAsia="sr-Latn-CS"/>
        </w:rPr>
        <w:t xml:space="preserve"> BiH u 2022. godini, a u okviru osiguranih </w:t>
      </w:r>
      <w:r w:rsidRPr="00665BCF">
        <w:rPr>
          <w:lang w:val="hr-HR" w:eastAsia="sr-Latn-CS"/>
        </w:rPr>
        <w:t xml:space="preserve">sredstava u iznosu od </w:t>
      </w:r>
      <w:r w:rsidRPr="00665BCF">
        <w:rPr>
          <w:b/>
          <w:lang w:val="hr-HR" w:eastAsia="sr-Latn-CS"/>
        </w:rPr>
        <w:t>210.000,00 KM.</w:t>
      </w:r>
      <w:r w:rsidRPr="00665BCF">
        <w:rPr>
          <w:lang w:val="hr-HR" w:eastAsia="sr-Latn-CS"/>
        </w:rPr>
        <w:t xml:space="preserve"> </w:t>
      </w: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Broj stambenih jedinica koji će se obnoviti zavisit će od stepena oštećenosti stambenih jedinica odabranih korisnika i trenutnih tržišnih cijena građevinskog materijala.</w:t>
      </w:r>
    </w:p>
    <w:p w:rsidR="00610BA5" w:rsidRPr="00665BCF" w:rsidRDefault="00610BA5" w:rsidP="00610BA5">
      <w:pPr>
        <w:autoSpaceDE w:val="0"/>
        <w:autoSpaceDN w:val="0"/>
        <w:adjustRightInd w:val="0"/>
        <w:jc w:val="both"/>
        <w:rPr>
          <w:color w:val="000000"/>
          <w:lang w:val="hr-HR" w:eastAsia="sr-Latn-CS"/>
        </w:rPr>
      </w:pPr>
    </w:p>
    <w:p w:rsidR="00610BA5" w:rsidRPr="00665BCF" w:rsidRDefault="00610BA5" w:rsidP="00610BA5">
      <w:pPr>
        <w:autoSpaceDE w:val="0"/>
        <w:autoSpaceDN w:val="0"/>
        <w:adjustRightInd w:val="0"/>
        <w:jc w:val="both"/>
        <w:rPr>
          <w:b/>
          <w:bCs/>
          <w:color w:val="000000"/>
          <w:lang w:val="hr-HR" w:eastAsia="sr-Latn-CS"/>
        </w:rPr>
      </w:pPr>
      <w:r w:rsidRPr="00665BCF">
        <w:rPr>
          <w:b/>
          <w:bCs/>
          <w:color w:val="000000"/>
          <w:lang w:val="hr-HR" w:eastAsia="sr-Latn-CS"/>
        </w:rPr>
        <w:t>Kriteriji za odabir korisnika za obnovu stambenih jedinica</w:t>
      </w:r>
    </w:p>
    <w:p w:rsidR="00610BA5" w:rsidRPr="00665BCF" w:rsidRDefault="00610BA5" w:rsidP="00610BA5">
      <w:pPr>
        <w:autoSpaceDE w:val="0"/>
        <w:autoSpaceDN w:val="0"/>
        <w:adjustRightInd w:val="0"/>
        <w:jc w:val="both"/>
        <w:rPr>
          <w:b/>
          <w:bCs/>
          <w:color w:val="000000"/>
          <w:lang w:val="hr-HR" w:eastAsia="sr-Latn-CS"/>
        </w:rPr>
      </w:pPr>
    </w:p>
    <w:p w:rsidR="00610BA5" w:rsidRPr="00665BCF" w:rsidRDefault="00610BA5" w:rsidP="00610BA5">
      <w:pPr>
        <w:autoSpaceDE w:val="0"/>
        <w:autoSpaceDN w:val="0"/>
        <w:adjustRightInd w:val="0"/>
        <w:jc w:val="both"/>
        <w:rPr>
          <w:b/>
          <w:bCs/>
          <w:color w:val="000000"/>
          <w:lang w:val="hr-HR" w:eastAsia="sr-Latn-CS"/>
        </w:rPr>
      </w:pPr>
      <w:r w:rsidRPr="00665BCF">
        <w:rPr>
          <w:b/>
          <w:bCs/>
          <w:color w:val="000000"/>
          <w:lang w:val="hr-HR" w:eastAsia="sr-Latn-CS"/>
        </w:rPr>
        <w:t>1. Opći kriteriji</w:t>
      </w: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Opći kriteriji su elimi</w:t>
      </w:r>
      <w:r w:rsidRPr="00665BCF">
        <w:rPr>
          <w:lang w:val="hr-HR" w:eastAsia="sr-Latn-CS"/>
        </w:rPr>
        <w:t>nato</w:t>
      </w:r>
      <w:r w:rsidRPr="00665BCF">
        <w:rPr>
          <w:color w:val="000000"/>
          <w:lang w:val="hr-HR" w:eastAsia="sr-Latn-CS"/>
        </w:rPr>
        <w:t>rni i obavezujući za sve korisnike pomoći.</w:t>
      </w:r>
    </w:p>
    <w:p w:rsidR="00610BA5" w:rsidRPr="00665BCF" w:rsidRDefault="00610BA5" w:rsidP="00610BA5">
      <w:pPr>
        <w:autoSpaceDE w:val="0"/>
        <w:autoSpaceDN w:val="0"/>
        <w:adjustRightInd w:val="0"/>
        <w:jc w:val="both"/>
        <w:rPr>
          <w:color w:val="000000"/>
          <w:lang w:val="hr-HR" w:eastAsia="sr-Latn-CS"/>
        </w:rPr>
      </w:pP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Opći kriteriji za utvrđivanje potencijalnih korisnika pomoći projekata povratka i obnove stambenih jedinica su:</w:t>
      </w:r>
    </w:p>
    <w:p w:rsidR="00610BA5" w:rsidRPr="00665BCF" w:rsidRDefault="00610BA5" w:rsidP="00610BA5">
      <w:pPr>
        <w:numPr>
          <w:ilvl w:val="0"/>
          <w:numId w:val="1"/>
        </w:numPr>
        <w:autoSpaceDE w:val="0"/>
        <w:autoSpaceDN w:val="0"/>
        <w:adjustRightInd w:val="0"/>
        <w:jc w:val="both"/>
        <w:rPr>
          <w:color w:val="000000"/>
          <w:lang w:val="hr-HR" w:eastAsia="sr-Latn-CS"/>
        </w:rPr>
      </w:pPr>
      <w:r w:rsidRPr="00665BCF">
        <w:rPr>
          <w:color w:val="000000"/>
          <w:lang w:val="hr-HR" w:eastAsia="sr-Latn-CS"/>
        </w:rPr>
        <w:t>korisnik pomoći je izbjeglica iz BiH, raseljeno lice u BiH ili povratnik,</w:t>
      </w:r>
    </w:p>
    <w:p w:rsidR="00610BA5" w:rsidRPr="00665BCF" w:rsidRDefault="00610BA5" w:rsidP="00610BA5">
      <w:pPr>
        <w:numPr>
          <w:ilvl w:val="0"/>
          <w:numId w:val="1"/>
        </w:numPr>
        <w:autoSpaceDE w:val="0"/>
        <w:autoSpaceDN w:val="0"/>
        <w:adjustRightInd w:val="0"/>
        <w:jc w:val="both"/>
        <w:rPr>
          <w:color w:val="000000"/>
          <w:lang w:val="hr-HR" w:eastAsia="sr-Latn-CS"/>
        </w:rPr>
      </w:pPr>
      <w:r w:rsidRPr="00665BCF">
        <w:rPr>
          <w:color w:val="000000"/>
          <w:lang w:val="hr-HR" w:eastAsia="sr-Latn-CS"/>
        </w:rPr>
        <w:t>korisnik pomoći je iskazao namjeru za povratkom,</w:t>
      </w:r>
    </w:p>
    <w:p w:rsidR="00610BA5" w:rsidRPr="00665BCF" w:rsidRDefault="00610BA5" w:rsidP="00610BA5">
      <w:pPr>
        <w:numPr>
          <w:ilvl w:val="0"/>
          <w:numId w:val="1"/>
        </w:numPr>
        <w:autoSpaceDE w:val="0"/>
        <w:autoSpaceDN w:val="0"/>
        <w:adjustRightInd w:val="0"/>
        <w:ind w:left="709"/>
        <w:jc w:val="both"/>
        <w:rPr>
          <w:color w:val="000000"/>
          <w:lang w:val="hr-HR" w:eastAsia="sr-Latn-CS"/>
        </w:rPr>
      </w:pPr>
      <w:r w:rsidRPr="00665BCF">
        <w:rPr>
          <w:color w:val="000000"/>
          <w:lang w:val="hr-HR" w:eastAsia="sr-Latn-CS"/>
        </w:rPr>
        <w:t>utvrđen je status vlasništva ili stanarsko pravo nad stambenom jedinicom koja je predmet obnove,</w:t>
      </w:r>
    </w:p>
    <w:p w:rsidR="00610BA5" w:rsidRPr="00665BCF" w:rsidRDefault="00610BA5" w:rsidP="00610BA5">
      <w:pPr>
        <w:numPr>
          <w:ilvl w:val="0"/>
          <w:numId w:val="1"/>
        </w:numPr>
        <w:autoSpaceDE w:val="0"/>
        <w:autoSpaceDN w:val="0"/>
        <w:adjustRightInd w:val="0"/>
        <w:jc w:val="both"/>
        <w:rPr>
          <w:color w:val="000000"/>
          <w:lang w:val="hr-HR" w:eastAsia="sr-Latn-CS"/>
        </w:rPr>
      </w:pPr>
      <w:r w:rsidRPr="00665BCF">
        <w:rPr>
          <w:color w:val="000000"/>
          <w:lang w:val="hr-HR" w:eastAsia="sr-Latn-CS"/>
        </w:rPr>
        <w:t>korisnik pomoći je na dan 30. 4. 1991. godine imao prebivalište u stambenoj jedinici koja je predmet obnove,</w:t>
      </w:r>
    </w:p>
    <w:p w:rsidR="00610BA5" w:rsidRPr="00665BCF" w:rsidRDefault="00610BA5" w:rsidP="00610BA5">
      <w:pPr>
        <w:numPr>
          <w:ilvl w:val="0"/>
          <w:numId w:val="1"/>
        </w:numPr>
        <w:autoSpaceDE w:val="0"/>
        <w:autoSpaceDN w:val="0"/>
        <w:adjustRightInd w:val="0"/>
        <w:jc w:val="both"/>
        <w:rPr>
          <w:color w:val="000000"/>
          <w:lang w:val="hr-HR" w:eastAsia="sr-Latn-CS"/>
        </w:rPr>
      </w:pPr>
      <w:r w:rsidRPr="00665BCF">
        <w:rPr>
          <w:color w:val="000000"/>
          <w:lang w:val="hr-HR" w:eastAsia="sr-Latn-CS"/>
        </w:rPr>
        <w:t xml:space="preserve">stambena jedinica koja je predmet rekonstrukcije se smatra </w:t>
      </w:r>
      <w:proofErr w:type="spellStart"/>
      <w:r w:rsidRPr="00665BCF">
        <w:rPr>
          <w:color w:val="000000"/>
          <w:lang w:val="hr-HR" w:eastAsia="sr-Latn-CS"/>
        </w:rPr>
        <w:t>neuslovnom</w:t>
      </w:r>
      <w:proofErr w:type="spellEnd"/>
      <w:r w:rsidRPr="00665BCF">
        <w:rPr>
          <w:color w:val="000000"/>
          <w:lang w:val="hr-HR" w:eastAsia="sr-Latn-CS"/>
        </w:rPr>
        <w:t xml:space="preserve"> za stanovanje u skladu s utvrđenim standardima o minimumu stambenih uslova,</w:t>
      </w:r>
    </w:p>
    <w:p w:rsidR="00610BA5" w:rsidRPr="00665BCF" w:rsidRDefault="00610BA5" w:rsidP="00610BA5">
      <w:pPr>
        <w:numPr>
          <w:ilvl w:val="0"/>
          <w:numId w:val="1"/>
        </w:numPr>
        <w:autoSpaceDE w:val="0"/>
        <w:autoSpaceDN w:val="0"/>
        <w:adjustRightInd w:val="0"/>
        <w:jc w:val="both"/>
        <w:rPr>
          <w:color w:val="000000"/>
          <w:lang w:val="hr-HR" w:eastAsia="sr-Latn-CS"/>
        </w:rPr>
      </w:pPr>
      <w:r w:rsidRPr="00665BCF">
        <w:rPr>
          <w:color w:val="000000"/>
          <w:lang w:val="hr-HR" w:eastAsia="sr-Latn-CS"/>
        </w:rPr>
        <w:lastRenderedPageBreak/>
        <w:t xml:space="preserve">korisnik pomoći / nosilac domaćinstva i članovi njegovog domaćinstva od 1991. godine nemaju na teritoriji BiH drugu stambenu jedinicu koja se smatra </w:t>
      </w:r>
      <w:proofErr w:type="spellStart"/>
      <w:r w:rsidRPr="00665BCF">
        <w:rPr>
          <w:color w:val="000000"/>
          <w:lang w:val="hr-HR" w:eastAsia="sr-Latn-CS"/>
        </w:rPr>
        <w:t>uslovnom</w:t>
      </w:r>
      <w:proofErr w:type="spellEnd"/>
      <w:r w:rsidRPr="00665BCF">
        <w:rPr>
          <w:color w:val="000000"/>
          <w:lang w:val="hr-HR" w:eastAsia="sr-Latn-CS"/>
        </w:rPr>
        <w:t xml:space="preserve"> za stanovanje, u skladu s utvrđenim standardima o minimumu stambenih uslova,</w:t>
      </w:r>
    </w:p>
    <w:p w:rsidR="00610BA5" w:rsidRPr="00665BCF" w:rsidRDefault="00610BA5" w:rsidP="00610BA5">
      <w:pPr>
        <w:numPr>
          <w:ilvl w:val="0"/>
          <w:numId w:val="1"/>
        </w:numPr>
        <w:autoSpaceDE w:val="0"/>
        <w:autoSpaceDN w:val="0"/>
        <w:adjustRightInd w:val="0"/>
        <w:jc w:val="both"/>
        <w:rPr>
          <w:color w:val="000000"/>
          <w:lang w:val="hr-HR" w:eastAsia="sr-Latn-CS"/>
        </w:rPr>
      </w:pPr>
      <w:r w:rsidRPr="00665BCF">
        <w:rPr>
          <w:color w:val="000000"/>
          <w:lang w:val="hr-HR" w:eastAsia="sr-Latn-CS"/>
        </w:rPr>
        <w:t>korisnik pomoći nije primio pomoć u obnovi, dovoljnu da zadovolji odgovarajuće standarde o minimumu stambenih uslova.</w:t>
      </w:r>
    </w:p>
    <w:p w:rsidR="00610BA5" w:rsidRPr="00665BCF" w:rsidRDefault="00610BA5" w:rsidP="00610BA5">
      <w:pPr>
        <w:autoSpaceDE w:val="0"/>
        <w:autoSpaceDN w:val="0"/>
        <w:adjustRightInd w:val="0"/>
        <w:ind w:left="720"/>
        <w:jc w:val="both"/>
        <w:rPr>
          <w:color w:val="000000"/>
          <w:lang w:val="hr-HR" w:eastAsia="sr-Latn-CS"/>
        </w:rPr>
      </w:pPr>
    </w:p>
    <w:p w:rsidR="00610BA5" w:rsidRPr="00665BCF" w:rsidRDefault="00610BA5" w:rsidP="00610BA5">
      <w:pPr>
        <w:autoSpaceDE w:val="0"/>
        <w:autoSpaceDN w:val="0"/>
        <w:adjustRightInd w:val="0"/>
        <w:ind w:left="720"/>
        <w:jc w:val="both"/>
        <w:rPr>
          <w:color w:val="000000"/>
          <w:lang w:val="hr-HR" w:eastAsia="sr-Latn-CS"/>
        </w:rPr>
      </w:pPr>
    </w:p>
    <w:p w:rsidR="00610BA5" w:rsidRPr="00665BCF" w:rsidRDefault="00610BA5" w:rsidP="00610BA5">
      <w:pPr>
        <w:autoSpaceDE w:val="0"/>
        <w:autoSpaceDN w:val="0"/>
        <w:adjustRightInd w:val="0"/>
        <w:ind w:left="720"/>
        <w:jc w:val="both"/>
        <w:rPr>
          <w:color w:val="000000"/>
          <w:lang w:val="hr-HR" w:eastAsia="sr-Latn-CS"/>
        </w:rPr>
      </w:pPr>
    </w:p>
    <w:p w:rsidR="00610BA5" w:rsidRPr="00665BCF" w:rsidRDefault="00610BA5" w:rsidP="00610BA5">
      <w:pPr>
        <w:autoSpaceDE w:val="0"/>
        <w:autoSpaceDN w:val="0"/>
        <w:adjustRightInd w:val="0"/>
        <w:ind w:left="720"/>
        <w:jc w:val="both"/>
        <w:rPr>
          <w:color w:val="000000"/>
          <w:lang w:val="hr-HR" w:eastAsia="sr-Latn-CS"/>
        </w:rPr>
      </w:pPr>
    </w:p>
    <w:p w:rsidR="00610BA5" w:rsidRPr="00665BCF" w:rsidRDefault="00610BA5" w:rsidP="00610BA5">
      <w:pPr>
        <w:autoSpaceDE w:val="0"/>
        <w:autoSpaceDN w:val="0"/>
        <w:adjustRightInd w:val="0"/>
        <w:jc w:val="both"/>
        <w:rPr>
          <w:b/>
          <w:bCs/>
          <w:color w:val="000000"/>
          <w:lang w:val="hr-HR" w:eastAsia="sr-Latn-CS"/>
        </w:rPr>
      </w:pPr>
      <w:r w:rsidRPr="00665BCF">
        <w:rPr>
          <w:b/>
          <w:bCs/>
          <w:color w:val="000000"/>
          <w:lang w:val="hr-HR" w:eastAsia="sr-Latn-CS"/>
        </w:rPr>
        <w:t>2.    Dokumenti kojima se dokazuje ispunjavanje općih kriterija</w:t>
      </w:r>
    </w:p>
    <w:p w:rsidR="00610BA5" w:rsidRPr="00665BCF" w:rsidRDefault="00610BA5" w:rsidP="00610BA5">
      <w:pPr>
        <w:autoSpaceDE w:val="0"/>
        <w:autoSpaceDN w:val="0"/>
        <w:adjustRightInd w:val="0"/>
        <w:jc w:val="both"/>
        <w:rPr>
          <w:b/>
          <w:bCs/>
          <w:color w:val="000000"/>
          <w:lang w:val="hr-HR" w:eastAsia="sr-Latn-CS"/>
        </w:rPr>
      </w:pPr>
    </w:p>
    <w:p w:rsidR="00610BA5" w:rsidRPr="00665BCF" w:rsidRDefault="00610BA5" w:rsidP="00610BA5">
      <w:pPr>
        <w:autoSpaceDE w:val="0"/>
        <w:autoSpaceDN w:val="0"/>
        <w:adjustRightInd w:val="0"/>
        <w:jc w:val="both"/>
        <w:rPr>
          <w:b/>
          <w:bCs/>
          <w:color w:val="000000"/>
          <w:lang w:val="hr-HR" w:eastAsia="sr-Latn-CS"/>
        </w:rPr>
      </w:pPr>
      <w:r w:rsidRPr="00665BCF">
        <w:rPr>
          <w:b/>
          <w:bCs/>
          <w:color w:val="000000"/>
          <w:lang w:val="hr-HR" w:eastAsia="sr-Latn-CS"/>
        </w:rPr>
        <w:t>2.1. Potvrda nadležnog organa o statusu (za sve članove povratničke porodice prijavljene za pomoć u rekonstrukciji):</w:t>
      </w:r>
    </w:p>
    <w:p w:rsidR="00610BA5" w:rsidRPr="00665BCF" w:rsidRDefault="00610BA5" w:rsidP="00610BA5">
      <w:pPr>
        <w:autoSpaceDE w:val="0"/>
        <w:autoSpaceDN w:val="0"/>
        <w:adjustRightInd w:val="0"/>
        <w:jc w:val="both"/>
        <w:rPr>
          <w:color w:val="000000"/>
          <w:lang w:val="hr-HR" w:eastAsia="sr-Latn-CS"/>
        </w:rPr>
      </w:pPr>
    </w:p>
    <w:p w:rsidR="00610BA5" w:rsidRPr="00665BCF" w:rsidRDefault="00610BA5" w:rsidP="00610BA5">
      <w:pPr>
        <w:numPr>
          <w:ilvl w:val="0"/>
          <w:numId w:val="2"/>
        </w:numPr>
        <w:autoSpaceDE w:val="0"/>
        <w:autoSpaceDN w:val="0"/>
        <w:adjustRightInd w:val="0"/>
        <w:jc w:val="both"/>
        <w:rPr>
          <w:color w:val="000000"/>
          <w:lang w:val="hr-HR" w:eastAsia="sr-Latn-CS"/>
        </w:rPr>
      </w:pPr>
      <w:r w:rsidRPr="00665BCF">
        <w:rPr>
          <w:color w:val="000000"/>
          <w:lang w:val="hr-HR" w:eastAsia="sr-Latn-CS"/>
        </w:rPr>
        <w:t>izbjeglice iz BiH – odgovarajuća potvrda (izbjeglička legitimacija/karton) o statusu izbjeglice iz BiH,</w:t>
      </w:r>
    </w:p>
    <w:p w:rsidR="00610BA5" w:rsidRPr="00665BCF" w:rsidRDefault="00610BA5" w:rsidP="00610BA5">
      <w:pPr>
        <w:numPr>
          <w:ilvl w:val="0"/>
          <w:numId w:val="2"/>
        </w:numPr>
        <w:autoSpaceDE w:val="0"/>
        <w:autoSpaceDN w:val="0"/>
        <w:adjustRightInd w:val="0"/>
        <w:jc w:val="both"/>
        <w:rPr>
          <w:color w:val="000000"/>
          <w:lang w:val="hr-HR" w:eastAsia="sr-Latn-CS"/>
        </w:rPr>
      </w:pPr>
      <w:r w:rsidRPr="00665BCF">
        <w:rPr>
          <w:color w:val="000000"/>
          <w:lang w:val="hr-HR" w:eastAsia="sr-Latn-CS"/>
        </w:rPr>
        <w:t>raseljenog lica u BiH – potvrda/pravosnažno rješenje nadležnog organa općine privremenog boravka o statusu raseljenog lica,</w:t>
      </w:r>
    </w:p>
    <w:p w:rsidR="00610BA5" w:rsidRPr="00665BCF" w:rsidRDefault="00610BA5" w:rsidP="00610BA5">
      <w:pPr>
        <w:numPr>
          <w:ilvl w:val="0"/>
          <w:numId w:val="2"/>
        </w:numPr>
        <w:autoSpaceDE w:val="0"/>
        <w:autoSpaceDN w:val="0"/>
        <w:adjustRightInd w:val="0"/>
        <w:jc w:val="both"/>
        <w:rPr>
          <w:color w:val="000000"/>
          <w:lang w:val="hr-HR" w:eastAsia="sr-Latn-CS"/>
        </w:rPr>
      </w:pPr>
      <w:r w:rsidRPr="00665BCF">
        <w:rPr>
          <w:color w:val="000000"/>
          <w:lang w:val="hr-HR" w:eastAsia="sr-Latn-CS"/>
        </w:rPr>
        <w:t>povratnici – potvrda nadležnog organa općine povratka o statusu povratnika.</w:t>
      </w:r>
    </w:p>
    <w:p w:rsidR="00610BA5" w:rsidRPr="00665BCF" w:rsidRDefault="00610BA5" w:rsidP="00610BA5">
      <w:pPr>
        <w:autoSpaceDE w:val="0"/>
        <w:autoSpaceDN w:val="0"/>
        <w:adjustRightInd w:val="0"/>
        <w:jc w:val="both"/>
        <w:rPr>
          <w:b/>
          <w:bCs/>
          <w:color w:val="000000"/>
          <w:lang w:val="hr-HR" w:eastAsia="sr-Latn-CS"/>
        </w:rPr>
      </w:pPr>
    </w:p>
    <w:p w:rsidR="00610BA5" w:rsidRPr="00665BCF" w:rsidRDefault="00610BA5" w:rsidP="00610BA5">
      <w:pPr>
        <w:autoSpaceDE w:val="0"/>
        <w:autoSpaceDN w:val="0"/>
        <w:adjustRightInd w:val="0"/>
        <w:jc w:val="both"/>
        <w:rPr>
          <w:b/>
          <w:bCs/>
          <w:color w:val="000000"/>
          <w:lang w:val="hr-HR" w:eastAsia="sr-Latn-CS"/>
        </w:rPr>
      </w:pPr>
      <w:r w:rsidRPr="00665BCF">
        <w:rPr>
          <w:b/>
          <w:bCs/>
          <w:color w:val="000000"/>
          <w:lang w:val="hr-HR" w:eastAsia="sr-Latn-CS"/>
        </w:rPr>
        <w:t>2.2. Izjava potencijalnog korisnika pomoći kojom se dokazuje namjera za povratkom</w:t>
      </w:r>
    </w:p>
    <w:p w:rsidR="00610BA5" w:rsidRPr="00665BCF" w:rsidRDefault="00610BA5" w:rsidP="00610BA5">
      <w:pPr>
        <w:autoSpaceDE w:val="0"/>
        <w:autoSpaceDN w:val="0"/>
        <w:adjustRightInd w:val="0"/>
        <w:ind w:left="426"/>
        <w:jc w:val="both"/>
        <w:rPr>
          <w:b/>
          <w:bCs/>
          <w:color w:val="000000"/>
          <w:lang w:val="hr-HR" w:eastAsia="sr-Latn-CS"/>
        </w:rPr>
      </w:pP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Izjavom podnosioca, koja se ovjerava od strane nadležnog organa općine povratka, dokazuje se da:</w:t>
      </w:r>
    </w:p>
    <w:p w:rsidR="00610BA5" w:rsidRPr="00665BCF" w:rsidRDefault="00610BA5" w:rsidP="00610BA5">
      <w:pPr>
        <w:numPr>
          <w:ilvl w:val="0"/>
          <w:numId w:val="2"/>
        </w:numPr>
        <w:autoSpaceDE w:val="0"/>
        <w:autoSpaceDN w:val="0"/>
        <w:adjustRightInd w:val="0"/>
        <w:jc w:val="both"/>
        <w:rPr>
          <w:color w:val="000000"/>
          <w:lang w:val="hr-HR" w:eastAsia="sr-Latn-CS"/>
        </w:rPr>
      </w:pPr>
      <w:r w:rsidRPr="00665BCF">
        <w:rPr>
          <w:color w:val="000000"/>
          <w:lang w:val="hr-HR" w:eastAsia="sr-Latn-CS"/>
        </w:rPr>
        <w:t>je iskazana namjera za dobrovoljnim povratkom,</w:t>
      </w:r>
    </w:p>
    <w:p w:rsidR="00610BA5" w:rsidRPr="00665BCF" w:rsidRDefault="00610BA5" w:rsidP="00610BA5">
      <w:pPr>
        <w:numPr>
          <w:ilvl w:val="0"/>
          <w:numId w:val="2"/>
        </w:numPr>
        <w:autoSpaceDE w:val="0"/>
        <w:autoSpaceDN w:val="0"/>
        <w:adjustRightInd w:val="0"/>
        <w:jc w:val="both"/>
        <w:rPr>
          <w:color w:val="000000"/>
          <w:lang w:val="hr-HR" w:eastAsia="sr-Latn-CS"/>
        </w:rPr>
      </w:pPr>
      <w:r w:rsidRPr="00665BCF">
        <w:rPr>
          <w:color w:val="000000"/>
          <w:lang w:val="hr-HR" w:eastAsia="sr-Latn-CS"/>
        </w:rPr>
        <w:t>je vlasnik/nosilac stanarskog prava nad stambenom jedinicom koja je predmet obnove,</w:t>
      </w:r>
    </w:p>
    <w:p w:rsidR="00610BA5" w:rsidRPr="00665BCF" w:rsidRDefault="00610BA5" w:rsidP="00610BA5">
      <w:pPr>
        <w:numPr>
          <w:ilvl w:val="0"/>
          <w:numId w:val="2"/>
        </w:numPr>
        <w:autoSpaceDE w:val="0"/>
        <w:autoSpaceDN w:val="0"/>
        <w:adjustRightInd w:val="0"/>
        <w:jc w:val="both"/>
        <w:rPr>
          <w:color w:val="000000"/>
          <w:lang w:val="hr-HR" w:eastAsia="sr-Latn-CS"/>
        </w:rPr>
      </w:pPr>
      <w:r w:rsidRPr="00665BCF">
        <w:rPr>
          <w:color w:val="000000"/>
          <w:lang w:val="hr-HR" w:eastAsia="sr-Latn-CS"/>
        </w:rPr>
        <w:t>je korisnik/nosilac domaćinstva na dan 30. 4. 1991. godine imao/</w:t>
      </w:r>
      <w:proofErr w:type="spellStart"/>
      <w:r w:rsidRPr="00665BCF">
        <w:rPr>
          <w:color w:val="000000"/>
          <w:lang w:val="hr-HR" w:eastAsia="sr-Latn-CS"/>
        </w:rPr>
        <w:t>la</w:t>
      </w:r>
      <w:proofErr w:type="spellEnd"/>
      <w:r w:rsidRPr="00665BCF">
        <w:rPr>
          <w:color w:val="000000"/>
          <w:lang w:val="hr-HR" w:eastAsia="sr-Latn-CS"/>
        </w:rPr>
        <w:t xml:space="preserve"> prebivalište u stambenoj jedinici koja je predmet obnove,</w:t>
      </w:r>
    </w:p>
    <w:p w:rsidR="00610BA5" w:rsidRPr="00665BCF" w:rsidRDefault="00610BA5" w:rsidP="00610BA5">
      <w:pPr>
        <w:numPr>
          <w:ilvl w:val="0"/>
          <w:numId w:val="2"/>
        </w:numPr>
        <w:autoSpaceDE w:val="0"/>
        <w:autoSpaceDN w:val="0"/>
        <w:adjustRightInd w:val="0"/>
        <w:jc w:val="both"/>
        <w:rPr>
          <w:color w:val="000000"/>
          <w:lang w:val="hr-HR" w:eastAsia="sr-Latn-CS"/>
        </w:rPr>
      </w:pPr>
      <w:r w:rsidRPr="00665BCF">
        <w:rPr>
          <w:color w:val="000000"/>
          <w:lang w:val="hr-HR" w:eastAsia="sr-Latn-CS"/>
        </w:rPr>
        <w:t xml:space="preserve">da je stambena jedinica koja je predmet obnove </w:t>
      </w:r>
      <w:proofErr w:type="spellStart"/>
      <w:r w:rsidRPr="00665BCF">
        <w:rPr>
          <w:color w:val="000000"/>
          <w:lang w:val="hr-HR" w:eastAsia="sr-Latn-CS"/>
        </w:rPr>
        <w:t>neuslovna</w:t>
      </w:r>
      <w:proofErr w:type="spellEnd"/>
      <w:r w:rsidRPr="00665BCF">
        <w:rPr>
          <w:color w:val="000000"/>
          <w:lang w:val="hr-HR" w:eastAsia="sr-Latn-CS"/>
        </w:rPr>
        <w:t xml:space="preserve"> za stanovanje u skladu s odgovarajućim standardima o minimumu stambenih uslova,</w:t>
      </w:r>
    </w:p>
    <w:p w:rsidR="00610BA5" w:rsidRPr="00665BCF" w:rsidRDefault="00610BA5" w:rsidP="00610BA5">
      <w:pPr>
        <w:numPr>
          <w:ilvl w:val="0"/>
          <w:numId w:val="2"/>
        </w:numPr>
        <w:autoSpaceDE w:val="0"/>
        <w:autoSpaceDN w:val="0"/>
        <w:adjustRightInd w:val="0"/>
        <w:jc w:val="both"/>
        <w:rPr>
          <w:color w:val="000000"/>
          <w:lang w:val="hr-HR" w:eastAsia="sr-Latn-CS"/>
        </w:rPr>
      </w:pPr>
      <w:r w:rsidRPr="00665BCF">
        <w:rPr>
          <w:color w:val="000000"/>
          <w:lang w:val="hr-HR" w:eastAsia="sr-Latn-CS"/>
        </w:rPr>
        <w:t xml:space="preserve">korisnik/nosilac domaćinstva i članovi njegovog domaćinstva koji su prijavljeni za </w:t>
      </w:r>
      <w:proofErr w:type="spellStart"/>
      <w:r w:rsidRPr="00665BCF">
        <w:rPr>
          <w:color w:val="000000"/>
          <w:lang w:val="hr-HR" w:eastAsia="sr-Latn-CS"/>
        </w:rPr>
        <w:t>dobijanje</w:t>
      </w:r>
      <w:proofErr w:type="spellEnd"/>
      <w:r w:rsidRPr="00665BCF">
        <w:rPr>
          <w:color w:val="000000"/>
          <w:lang w:val="hr-HR" w:eastAsia="sr-Latn-CS"/>
        </w:rPr>
        <w:t xml:space="preserve"> pomoći u obnovi od 1991. godine nemaju na teritoriji BiH drugu stambenu jedinicu koja se smatra </w:t>
      </w:r>
      <w:proofErr w:type="spellStart"/>
      <w:r w:rsidRPr="00665BCF">
        <w:rPr>
          <w:color w:val="000000"/>
          <w:lang w:val="hr-HR" w:eastAsia="sr-Latn-CS"/>
        </w:rPr>
        <w:t>uslovnom</w:t>
      </w:r>
      <w:proofErr w:type="spellEnd"/>
      <w:r w:rsidRPr="00665BCF">
        <w:rPr>
          <w:color w:val="000000"/>
          <w:lang w:val="hr-HR" w:eastAsia="sr-Latn-CS"/>
        </w:rPr>
        <w:t xml:space="preserve"> za stanovanje, u skladu s odgovarajućim standardima o minimumu stambenih uslova,</w:t>
      </w:r>
    </w:p>
    <w:p w:rsidR="00610BA5" w:rsidRPr="00665BCF" w:rsidRDefault="00610BA5" w:rsidP="00610BA5">
      <w:pPr>
        <w:numPr>
          <w:ilvl w:val="0"/>
          <w:numId w:val="2"/>
        </w:numPr>
        <w:autoSpaceDE w:val="0"/>
        <w:autoSpaceDN w:val="0"/>
        <w:adjustRightInd w:val="0"/>
        <w:jc w:val="both"/>
        <w:rPr>
          <w:color w:val="000000"/>
          <w:lang w:val="hr-HR" w:eastAsia="sr-Latn-CS"/>
        </w:rPr>
      </w:pPr>
      <w:r w:rsidRPr="00665BCF">
        <w:rPr>
          <w:color w:val="000000"/>
          <w:lang w:val="hr-HR" w:eastAsia="sr-Latn-CS"/>
        </w:rPr>
        <w:t>korisnik nije primio pomoć u obnovi, dovoljnu da zadovolji odgovarajuće standarde o  minimumu stambenih uslova.</w:t>
      </w:r>
    </w:p>
    <w:p w:rsidR="00610BA5" w:rsidRPr="00665BCF" w:rsidRDefault="00610BA5" w:rsidP="00610BA5">
      <w:pPr>
        <w:autoSpaceDE w:val="0"/>
        <w:autoSpaceDN w:val="0"/>
        <w:adjustRightInd w:val="0"/>
        <w:jc w:val="both"/>
        <w:rPr>
          <w:b/>
          <w:bCs/>
          <w:color w:val="000000"/>
          <w:lang w:val="hr-HR" w:eastAsia="sr-Latn-CS"/>
        </w:rPr>
      </w:pPr>
    </w:p>
    <w:p w:rsidR="00610BA5" w:rsidRPr="00665BCF" w:rsidRDefault="00610BA5" w:rsidP="00610BA5">
      <w:pPr>
        <w:autoSpaceDE w:val="0"/>
        <w:autoSpaceDN w:val="0"/>
        <w:adjustRightInd w:val="0"/>
        <w:jc w:val="both"/>
        <w:rPr>
          <w:b/>
          <w:bCs/>
          <w:color w:val="000000"/>
          <w:lang w:val="hr-HR" w:eastAsia="sr-Latn-CS"/>
        </w:rPr>
      </w:pPr>
      <w:r w:rsidRPr="00665BCF">
        <w:rPr>
          <w:b/>
          <w:bCs/>
          <w:color w:val="000000"/>
          <w:lang w:val="hr-HR" w:eastAsia="sr-Latn-CS"/>
        </w:rPr>
        <w:t>2.3. Dokaz o vlasništvu/stanarskom pravu</w:t>
      </w: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Dokaz o vlasništvu/stanarskom pravu nad stambenom jedinicom koja je predmet obnove dokazuje se sljedećim dokumentima:</w:t>
      </w:r>
    </w:p>
    <w:p w:rsidR="00610BA5" w:rsidRPr="00665BCF" w:rsidRDefault="00610BA5" w:rsidP="00610BA5">
      <w:pPr>
        <w:numPr>
          <w:ilvl w:val="0"/>
          <w:numId w:val="2"/>
        </w:numPr>
        <w:autoSpaceDE w:val="0"/>
        <w:autoSpaceDN w:val="0"/>
        <w:adjustRightInd w:val="0"/>
        <w:jc w:val="both"/>
        <w:rPr>
          <w:color w:val="000000"/>
          <w:lang w:val="hr-HR" w:eastAsia="sr-Latn-CS"/>
        </w:rPr>
      </w:pPr>
      <w:proofErr w:type="spellStart"/>
      <w:r w:rsidRPr="00665BCF">
        <w:rPr>
          <w:color w:val="000000"/>
          <w:lang w:val="hr-HR" w:eastAsia="sr-Latn-CS"/>
        </w:rPr>
        <w:t>zk</w:t>
      </w:r>
      <w:proofErr w:type="spellEnd"/>
      <w:r w:rsidRPr="00665BCF">
        <w:rPr>
          <w:color w:val="000000"/>
          <w:lang w:val="hr-HR" w:eastAsia="sr-Latn-CS"/>
        </w:rPr>
        <w:t>. (zemljišnoknjižni) izvadak – izvod iz katastarske evidencije, ne stariji od 6 (šest) mjeseci, i/ili</w:t>
      </w:r>
    </w:p>
    <w:p w:rsidR="00610BA5" w:rsidRPr="00665BCF" w:rsidRDefault="00610BA5" w:rsidP="00610BA5">
      <w:pPr>
        <w:numPr>
          <w:ilvl w:val="0"/>
          <w:numId w:val="2"/>
        </w:numPr>
        <w:autoSpaceDE w:val="0"/>
        <w:autoSpaceDN w:val="0"/>
        <w:adjustRightInd w:val="0"/>
        <w:jc w:val="both"/>
        <w:rPr>
          <w:color w:val="000000"/>
          <w:lang w:val="hr-HR" w:eastAsia="sr-Latn-CS"/>
        </w:rPr>
      </w:pPr>
      <w:r w:rsidRPr="00665BCF">
        <w:rPr>
          <w:color w:val="000000"/>
          <w:lang w:val="hr-HR" w:eastAsia="sr-Latn-CS"/>
        </w:rPr>
        <w:t>CRPC odluka – odluka Komisije za imovinske zahtjeve izbjeglica i raseljenih osoba, i/ili</w:t>
      </w:r>
    </w:p>
    <w:p w:rsidR="00610BA5" w:rsidRPr="00665BCF" w:rsidRDefault="00610BA5" w:rsidP="00610BA5">
      <w:pPr>
        <w:numPr>
          <w:ilvl w:val="0"/>
          <w:numId w:val="2"/>
        </w:numPr>
        <w:autoSpaceDE w:val="0"/>
        <w:autoSpaceDN w:val="0"/>
        <w:adjustRightInd w:val="0"/>
        <w:jc w:val="both"/>
        <w:rPr>
          <w:color w:val="000000"/>
          <w:lang w:val="hr-HR" w:eastAsia="sr-Latn-CS"/>
        </w:rPr>
      </w:pPr>
      <w:r w:rsidRPr="00665BCF">
        <w:rPr>
          <w:color w:val="000000"/>
          <w:lang w:val="hr-HR" w:eastAsia="sr-Latn-CS"/>
        </w:rPr>
        <w:t>pravosnažno rješenje o povratu imovine/stanarskog prava – rješenje nadležnog općinskog organa o povratu i/ili uvođenju u posjed.</w:t>
      </w:r>
    </w:p>
    <w:p w:rsidR="00610BA5" w:rsidRPr="00665BCF" w:rsidRDefault="00610BA5" w:rsidP="00610BA5">
      <w:pPr>
        <w:autoSpaceDE w:val="0"/>
        <w:autoSpaceDN w:val="0"/>
        <w:adjustRightInd w:val="0"/>
        <w:jc w:val="both"/>
        <w:rPr>
          <w:color w:val="000000"/>
          <w:lang w:val="hr-HR" w:eastAsia="sr-Latn-CS"/>
        </w:rPr>
      </w:pPr>
    </w:p>
    <w:p w:rsidR="00610BA5" w:rsidRPr="00665BCF" w:rsidRDefault="00610BA5" w:rsidP="00610BA5">
      <w:pPr>
        <w:autoSpaceDE w:val="0"/>
        <w:autoSpaceDN w:val="0"/>
        <w:adjustRightInd w:val="0"/>
        <w:jc w:val="both"/>
        <w:rPr>
          <w:lang w:val="hr-HR" w:eastAsia="sr-Latn-CS"/>
        </w:rPr>
      </w:pPr>
      <w:r w:rsidRPr="00665BCF">
        <w:rPr>
          <w:lang w:val="hr-HR" w:eastAsia="sr-Latn-CS"/>
        </w:rPr>
        <w:t xml:space="preserve">U izuzetnim slučajevima, kada se vlasništvo ili stanarsko pravo ne može pouzdano dokazati dokumentima iz prethodnog stava, vlasništvo se može dokazivati i drugim relevantnim dokumentima, koje izdaju nadležni organi (pravosnažno rješenje o nasljeđivanju, građevinska dozvola, urbanistička </w:t>
      </w:r>
      <w:proofErr w:type="spellStart"/>
      <w:r w:rsidRPr="00665BCF">
        <w:rPr>
          <w:lang w:val="hr-HR" w:eastAsia="sr-Latn-CS"/>
        </w:rPr>
        <w:t>saglasnost</w:t>
      </w:r>
      <w:proofErr w:type="spellEnd"/>
      <w:r w:rsidRPr="00665BCF">
        <w:rPr>
          <w:lang w:val="hr-HR" w:eastAsia="sr-Latn-CS"/>
        </w:rPr>
        <w:t>, avionski snimak i sl.).</w:t>
      </w:r>
    </w:p>
    <w:p w:rsidR="00610BA5" w:rsidRPr="00665BCF" w:rsidRDefault="00610BA5" w:rsidP="00610BA5">
      <w:pPr>
        <w:autoSpaceDE w:val="0"/>
        <w:autoSpaceDN w:val="0"/>
        <w:adjustRightInd w:val="0"/>
        <w:jc w:val="both"/>
        <w:rPr>
          <w:b/>
          <w:bCs/>
          <w:color w:val="000000"/>
          <w:lang w:val="hr-HR" w:eastAsia="sr-Latn-CS"/>
        </w:rPr>
      </w:pPr>
    </w:p>
    <w:p w:rsidR="00610BA5" w:rsidRPr="00665BCF" w:rsidRDefault="00610BA5" w:rsidP="00610BA5">
      <w:pPr>
        <w:autoSpaceDE w:val="0"/>
        <w:autoSpaceDN w:val="0"/>
        <w:adjustRightInd w:val="0"/>
        <w:jc w:val="both"/>
        <w:rPr>
          <w:b/>
          <w:bCs/>
          <w:color w:val="000000"/>
          <w:lang w:val="hr-HR" w:eastAsia="sr-Latn-CS"/>
        </w:rPr>
      </w:pPr>
      <w:r w:rsidRPr="00665BCF">
        <w:rPr>
          <w:b/>
          <w:bCs/>
          <w:color w:val="000000"/>
          <w:lang w:val="hr-HR" w:eastAsia="sr-Latn-CS"/>
        </w:rPr>
        <w:t>2.4. Uvjerenje o kretanju</w:t>
      </w: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Uvjerenjem o kretanju podnosioca zahtjeva za obnovu, koje izdaje nadležni organ, dokazuje se da je korisnik pomoći na dan 30. 4. 1991. godine imao prebivalište u stambenoj jedinici koja je predmet obnove. Potrebno je priložiti original uvjerenja o kretanju ili ovjerenu kopiju (ovaj dokaz Odjeljenje pribavlja po službenoj dužnosti). U izuzetnim slučajevima, kada se uvjerenjem o kretanju ne može pouzdano utvrditi prebivalište na dan 30. 4. 1991. godine, kao dokaz prebivališta pribavlja se izjava dva svjedoka, ovjerena od strane nadležnog organa općine povratka.</w:t>
      </w:r>
    </w:p>
    <w:p w:rsidR="00610BA5" w:rsidRPr="00665BCF" w:rsidRDefault="00610BA5" w:rsidP="00610BA5">
      <w:pPr>
        <w:autoSpaceDE w:val="0"/>
        <w:autoSpaceDN w:val="0"/>
        <w:adjustRightInd w:val="0"/>
        <w:jc w:val="both"/>
        <w:rPr>
          <w:color w:val="000000"/>
          <w:lang w:val="hr-HR" w:eastAsia="sr-Latn-CS"/>
        </w:rPr>
      </w:pPr>
    </w:p>
    <w:p w:rsidR="00610BA5" w:rsidRPr="00665BCF" w:rsidRDefault="00610BA5" w:rsidP="00610BA5">
      <w:pPr>
        <w:autoSpaceDE w:val="0"/>
        <w:autoSpaceDN w:val="0"/>
        <w:adjustRightInd w:val="0"/>
        <w:jc w:val="both"/>
        <w:rPr>
          <w:b/>
          <w:bCs/>
          <w:color w:val="000000"/>
          <w:lang w:val="hr-HR" w:eastAsia="sr-Latn-CS"/>
        </w:rPr>
      </w:pPr>
      <w:r w:rsidRPr="00665BCF">
        <w:rPr>
          <w:b/>
          <w:bCs/>
          <w:color w:val="000000"/>
          <w:lang w:val="hr-HR" w:eastAsia="sr-Latn-CS"/>
        </w:rPr>
        <w:t>3. Posebni kriteriji</w:t>
      </w: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 xml:space="preserve">Ispunjavanje posebnih kriterija služi Komisiji za odabir korisnika na općinskom nivou kao </w:t>
      </w:r>
      <w:proofErr w:type="spellStart"/>
      <w:r w:rsidRPr="00665BCF">
        <w:rPr>
          <w:color w:val="000000"/>
          <w:lang w:val="hr-HR" w:eastAsia="sr-Latn-CS"/>
        </w:rPr>
        <w:t>osnov</w:t>
      </w:r>
      <w:proofErr w:type="spellEnd"/>
      <w:r w:rsidRPr="00665BCF">
        <w:rPr>
          <w:color w:val="000000"/>
          <w:lang w:val="hr-HR" w:eastAsia="sr-Latn-CS"/>
        </w:rPr>
        <w:t xml:space="preserve"> za procjenu potreba potencijalnih korisnika pomoći po prioritetima, te im pomaže da izvrše odabir korisnika pomoći u obnovi, poštujući principe transparentnosti i jednakopravnosti pristupu pomoći u obnovi.</w:t>
      </w:r>
    </w:p>
    <w:p w:rsidR="00610BA5" w:rsidRPr="00665BCF" w:rsidRDefault="00610BA5" w:rsidP="00610BA5">
      <w:pPr>
        <w:autoSpaceDE w:val="0"/>
        <w:autoSpaceDN w:val="0"/>
        <w:adjustRightInd w:val="0"/>
        <w:jc w:val="both"/>
        <w:rPr>
          <w:color w:val="000000"/>
          <w:lang w:val="hr-HR" w:eastAsia="sr-Latn-CS"/>
        </w:rPr>
      </w:pPr>
    </w:p>
    <w:p w:rsidR="00610BA5" w:rsidRPr="00665BCF" w:rsidRDefault="00610BA5" w:rsidP="00610BA5">
      <w:pPr>
        <w:autoSpaceDE w:val="0"/>
        <w:autoSpaceDN w:val="0"/>
        <w:adjustRightInd w:val="0"/>
        <w:jc w:val="both"/>
        <w:rPr>
          <w:b/>
          <w:bCs/>
          <w:color w:val="000000"/>
          <w:lang w:val="hr-HR" w:eastAsia="sr-Latn-CS"/>
        </w:rPr>
      </w:pPr>
      <w:r w:rsidRPr="00665BCF">
        <w:rPr>
          <w:b/>
          <w:bCs/>
          <w:color w:val="000000"/>
          <w:lang w:val="hr-HR" w:eastAsia="sr-Latn-CS"/>
        </w:rPr>
        <w:t>3.1. Posebni kriteriji su:</w:t>
      </w: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 xml:space="preserve">a) Korisnik pomoći se vratio na svoje prijeratno prebivalište i živi u uslovima koji su ispod utvrđenog stambenog minimuma, uključujući i korisnike koji privremeno borave u </w:t>
      </w:r>
      <w:proofErr w:type="spellStart"/>
      <w:r w:rsidRPr="00665BCF">
        <w:rPr>
          <w:color w:val="000000"/>
          <w:lang w:val="hr-HR" w:eastAsia="sr-Latn-CS"/>
        </w:rPr>
        <w:t>improvizovanim</w:t>
      </w:r>
      <w:proofErr w:type="spellEnd"/>
      <w:r w:rsidRPr="00665BCF">
        <w:rPr>
          <w:color w:val="000000"/>
          <w:lang w:val="hr-HR" w:eastAsia="sr-Latn-CS"/>
        </w:rPr>
        <w:t xml:space="preserve"> naseljima, kampovima, kontejnerima i slično.</w:t>
      </w:r>
    </w:p>
    <w:p w:rsidR="00610BA5" w:rsidRPr="00665BCF" w:rsidRDefault="00610BA5" w:rsidP="00610BA5">
      <w:pPr>
        <w:autoSpaceDE w:val="0"/>
        <w:autoSpaceDN w:val="0"/>
        <w:adjustRightInd w:val="0"/>
        <w:jc w:val="both"/>
        <w:rPr>
          <w:color w:val="000000"/>
          <w:lang w:val="hr-HR" w:eastAsia="sr-Latn-CS"/>
        </w:rPr>
      </w:pP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b) Korisnik pomoći pripada određenim grupama kao što su:</w:t>
      </w:r>
    </w:p>
    <w:p w:rsidR="00610BA5" w:rsidRPr="00665BCF" w:rsidRDefault="00610BA5" w:rsidP="00610BA5">
      <w:pPr>
        <w:numPr>
          <w:ilvl w:val="0"/>
          <w:numId w:val="3"/>
        </w:numPr>
        <w:autoSpaceDE w:val="0"/>
        <w:autoSpaceDN w:val="0"/>
        <w:adjustRightInd w:val="0"/>
        <w:jc w:val="both"/>
        <w:rPr>
          <w:color w:val="000000"/>
          <w:lang w:val="hr-HR" w:eastAsia="sr-Latn-CS"/>
        </w:rPr>
      </w:pPr>
      <w:r w:rsidRPr="00665BCF">
        <w:rPr>
          <w:color w:val="000000"/>
          <w:lang w:val="hr-HR" w:eastAsia="sr-Latn-CS"/>
        </w:rPr>
        <w:t>socijalne kategorije,</w:t>
      </w:r>
    </w:p>
    <w:p w:rsidR="00610BA5" w:rsidRPr="00665BCF" w:rsidRDefault="00610BA5" w:rsidP="00610BA5">
      <w:pPr>
        <w:numPr>
          <w:ilvl w:val="0"/>
          <w:numId w:val="3"/>
        </w:numPr>
        <w:autoSpaceDE w:val="0"/>
        <w:autoSpaceDN w:val="0"/>
        <w:adjustRightInd w:val="0"/>
        <w:jc w:val="both"/>
        <w:rPr>
          <w:color w:val="000000"/>
          <w:lang w:val="hr-HR" w:eastAsia="sr-Latn-CS"/>
        </w:rPr>
      </w:pPr>
      <w:r w:rsidRPr="00665BCF">
        <w:rPr>
          <w:color w:val="000000"/>
          <w:lang w:val="hr-HR" w:eastAsia="sr-Latn-CS"/>
        </w:rPr>
        <w:t>lica s onesposobljenjem/invaliditetom,</w:t>
      </w:r>
    </w:p>
    <w:p w:rsidR="00610BA5" w:rsidRPr="00665BCF" w:rsidRDefault="00610BA5" w:rsidP="00610BA5">
      <w:pPr>
        <w:numPr>
          <w:ilvl w:val="0"/>
          <w:numId w:val="3"/>
        </w:numPr>
        <w:autoSpaceDE w:val="0"/>
        <w:autoSpaceDN w:val="0"/>
        <w:adjustRightInd w:val="0"/>
        <w:jc w:val="both"/>
        <w:rPr>
          <w:color w:val="000000"/>
          <w:lang w:val="hr-HR" w:eastAsia="sr-Latn-CS"/>
        </w:rPr>
      </w:pPr>
      <w:r w:rsidRPr="00665BCF">
        <w:rPr>
          <w:color w:val="000000"/>
          <w:lang w:val="hr-HR" w:eastAsia="sr-Latn-CS"/>
        </w:rPr>
        <w:t>samohrani roditelji, staratelji ili hranitelji porodice,</w:t>
      </w:r>
    </w:p>
    <w:p w:rsidR="00610BA5" w:rsidRPr="00665BCF" w:rsidRDefault="00610BA5" w:rsidP="00610BA5">
      <w:pPr>
        <w:numPr>
          <w:ilvl w:val="0"/>
          <w:numId w:val="3"/>
        </w:numPr>
        <w:autoSpaceDE w:val="0"/>
        <w:autoSpaceDN w:val="0"/>
        <w:adjustRightInd w:val="0"/>
        <w:jc w:val="both"/>
        <w:rPr>
          <w:color w:val="000000"/>
          <w:lang w:val="hr-HR" w:eastAsia="sr-Latn-CS"/>
        </w:rPr>
      </w:pPr>
      <w:proofErr w:type="spellStart"/>
      <w:r w:rsidRPr="00665BCF">
        <w:rPr>
          <w:color w:val="000000"/>
          <w:lang w:val="hr-HR" w:eastAsia="sr-Latn-CS"/>
        </w:rPr>
        <w:t>šehidske</w:t>
      </w:r>
      <w:proofErr w:type="spellEnd"/>
      <w:r w:rsidRPr="00665BCF">
        <w:rPr>
          <w:color w:val="000000"/>
          <w:lang w:val="hr-HR" w:eastAsia="sr-Latn-CS"/>
        </w:rPr>
        <w:t xml:space="preserve"> porodice / porodice poginulog borca,</w:t>
      </w:r>
    </w:p>
    <w:p w:rsidR="00610BA5" w:rsidRPr="00665BCF" w:rsidRDefault="00610BA5" w:rsidP="00610BA5">
      <w:pPr>
        <w:numPr>
          <w:ilvl w:val="0"/>
          <w:numId w:val="3"/>
        </w:numPr>
        <w:autoSpaceDE w:val="0"/>
        <w:autoSpaceDN w:val="0"/>
        <w:adjustRightInd w:val="0"/>
        <w:jc w:val="both"/>
        <w:rPr>
          <w:color w:val="000000"/>
          <w:lang w:val="hr-HR" w:eastAsia="sr-Latn-CS"/>
        </w:rPr>
      </w:pPr>
      <w:r w:rsidRPr="00665BCF">
        <w:rPr>
          <w:color w:val="000000"/>
          <w:lang w:val="hr-HR" w:eastAsia="sr-Latn-CS"/>
        </w:rPr>
        <w:t>porodice nestalih lica i bivši logoraši.</w:t>
      </w:r>
    </w:p>
    <w:p w:rsidR="00610BA5" w:rsidRPr="00665BCF" w:rsidRDefault="00610BA5" w:rsidP="00610BA5">
      <w:pPr>
        <w:autoSpaceDE w:val="0"/>
        <w:autoSpaceDN w:val="0"/>
        <w:adjustRightInd w:val="0"/>
        <w:ind w:left="360"/>
        <w:jc w:val="both"/>
        <w:rPr>
          <w:color w:val="000000"/>
          <w:lang w:val="hr-HR" w:eastAsia="sr-Latn-CS"/>
        </w:rPr>
      </w:pPr>
    </w:p>
    <w:p w:rsidR="00610BA5" w:rsidRPr="00665BCF" w:rsidRDefault="00610BA5" w:rsidP="00610BA5">
      <w:pPr>
        <w:autoSpaceDE w:val="0"/>
        <w:autoSpaceDN w:val="0"/>
        <w:adjustRightInd w:val="0"/>
        <w:ind w:left="284" w:hanging="284"/>
        <w:jc w:val="both"/>
        <w:rPr>
          <w:color w:val="000000"/>
          <w:lang w:val="hr-HR" w:eastAsia="sr-Latn-CS"/>
        </w:rPr>
      </w:pPr>
      <w:r w:rsidRPr="00665BCF">
        <w:rPr>
          <w:color w:val="000000"/>
          <w:lang w:val="hr-HR" w:eastAsia="sr-Latn-CS"/>
        </w:rPr>
        <w:t>c) Korisnik se nalazi u kolektivnim oblicima zbrinjavanja (tranzitno-prihvatni i kolektivni centri), alternativnom smještaju ili zadovoljava uslove i ima/ostvaruje pravo na alternativni smještaj.</w:t>
      </w:r>
    </w:p>
    <w:p w:rsidR="00610BA5" w:rsidRPr="00665BCF" w:rsidRDefault="00610BA5" w:rsidP="00610BA5">
      <w:pPr>
        <w:autoSpaceDE w:val="0"/>
        <w:autoSpaceDN w:val="0"/>
        <w:adjustRightInd w:val="0"/>
        <w:ind w:left="284" w:hanging="426"/>
        <w:jc w:val="both"/>
        <w:rPr>
          <w:bCs/>
          <w:color w:val="000000"/>
          <w:lang w:val="hr-HR" w:eastAsia="sr-Latn-CS"/>
        </w:rPr>
      </w:pPr>
      <w:r w:rsidRPr="00665BCF">
        <w:rPr>
          <w:bCs/>
          <w:color w:val="000000"/>
          <w:lang w:val="hr-HR" w:eastAsia="sr-Latn-CS"/>
        </w:rPr>
        <w:t xml:space="preserve">  d) Broj i starosna dob članova domaćinstva koji su se prijavili za povratak na svoje prijeratno prebivalište.</w:t>
      </w:r>
    </w:p>
    <w:p w:rsidR="00610BA5" w:rsidRPr="00665BCF" w:rsidRDefault="00610BA5" w:rsidP="00610BA5">
      <w:pPr>
        <w:autoSpaceDE w:val="0"/>
        <w:autoSpaceDN w:val="0"/>
        <w:adjustRightInd w:val="0"/>
        <w:jc w:val="both"/>
        <w:rPr>
          <w:b/>
          <w:bCs/>
          <w:color w:val="000000"/>
          <w:lang w:val="hr-HR" w:eastAsia="sr-Latn-CS"/>
        </w:rPr>
      </w:pPr>
    </w:p>
    <w:p w:rsidR="00610BA5" w:rsidRPr="00665BCF" w:rsidRDefault="00610BA5" w:rsidP="00610BA5">
      <w:pPr>
        <w:autoSpaceDE w:val="0"/>
        <w:autoSpaceDN w:val="0"/>
        <w:adjustRightInd w:val="0"/>
        <w:jc w:val="both"/>
        <w:rPr>
          <w:b/>
          <w:bCs/>
          <w:color w:val="000000"/>
          <w:lang w:val="hr-HR" w:eastAsia="sr-Latn-CS"/>
        </w:rPr>
      </w:pPr>
      <w:r w:rsidRPr="00665BCF">
        <w:rPr>
          <w:b/>
          <w:bCs/>
          <w:color w:val="000000"/>
          <w:lang w:val="hr-HR" w:eastAsia="sr-Latn-CS"/>
        </w:rPr>
        <w:t>4. Dokumenti kojima se dokazuje ispunjavanje posebnih kriterija</w:t>
      </w:r>
    </w:p>
    <w:p w:rsidR="00610BA5" w:rsidRPr="00665BCF" w:rsidRDefault="00610BA5" w:rsidP="00610BA5">
      <w:pPr>
        <w:autoSpaceDE w:val="0"/>
        <w:autoSpaceDN w:val="0"/>
        <w:adjustRightInd w:val="0"/>
        <w:jc w:val="both"/>
        <w:rPr>
          <w:b/>
          <w:bCs/>
          <w:color w:val="000000"/>
          <w:lang w:val="hr-HR" w:eastAsia="sr-Latn-CS"/>
        </w:rPr>
      </w:pPr>
    </w:p>
    <w:p w:rsidR="00610BA5" w:rsidRPr="00665BCF" w:rsidRDefault="00610BA5" w:rsidP="00610BA5">
      <w:pPr>
        <w:autoSpaceDE w:val="0"/>
        <w:autoSpaceDN w:val="0"/>
        <w:adjustRightInd w:val="0"/>
        <w:jc w:val="both"/>
        <w:rPr>
          <w:b/>
          <w:bCs/>
          <w:color w:val="000000"/>
          <w:lang w:val="hr-HR" w:eastAsia="sr-Latn-CS"/>
        </w:rPr>
      </w:pPr>
      <w:r w:rsidRPr="00665BCF">
        <w:rPr>
          <w:b/>
          <w:bCs/>
          <w:color w:val="000000"/>
          <w:lang w:val="hr-HR" w:eastAsia="sr-Latn-CS"/>
        </w:rPr>
        <w:t>4.1. Dokaz o povratku u prijeratno prebivalište</w:t>
      </w: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Povratak u prijeratno prebivalište dokazuje se uvjerenjem nadležnog organa kojim se dokazuje da korisnik ima prijavljeno prebivalište na adresi na kojoj se nalazi stambena jedinica koja je predmet obnove, odnosno potvrda nadležnog općinskog organa da se radi o povratniku.</w:t>
      </w:r>
    </w:p>
    <w:p w:rsidR="00610BA5" w:rsidRPr="00665BCF" w:rsidRDefault="00610BA5" w:rsidP="00610BA5">
      <w:pPr>
        <w:autoSpaceDE w:val="0"/>
        <w:autoSpaceDN w:val="0"/>
        <w:adjustRightInd w:val="0"/>
        <w:jc w:val="both"/>
        <w:rPr>
          <w:b/>
          <w:bCs/>
          <w:color w:val="000000"/>
          <w:lang w:val="hr-HR" w:eastAsia="sr-Latn-CS"/>
        </w:rPr>
      </w:pPr>
    </w:p>
    <w:p w:rsidR="00610BA5" w:rsidRPr="00665BCF" w:rsidRDefault="00610BA5" w:rsidP="00610BA5">
      <w:pPr>
        <w:autoSpaceDE w:val="0"/>
        <w:autoSpaceDN w:val="0"/>
        <w:adjustRightInd w:val="0"/>
        <w:jc w:val="both"/>
        <w:rPr>
          <w:b/>
          <w:bCs/>
          <w:color w:val="000000"/>
          <w:lang w:val="hr-HR" w:eastAsia="sr-Latn-CS"/>
        </w:rPr>
      </w:pPr>
      <w:r w:rsidRPr="00665BCF">
        <w:rPr>
          <w:b/>
          <w:bCs/>
          <w:color w:val="000000"/>
          <w:lang w:val="hr-HR" w:eastAsia="sr-Latn-CS"/>
        </w:rPr>
        <w:t>4.2. Dokaz o pripadnosti određenim – posebnim grupama</w:t>
      </w:r>
    </w:p>
    <w:p w:rsidR="00610BA5" w:rsidRPr="00665BCF" w:rsidRDefault="00610BA5" w:rsidP="00610BA5">
      <w:pPr>
        <w:autoSpaceDE w:val="0"/>
        <w:autoSpaceDN w:val="0"/>
        <w:adjustRightInd w:val="0"/>
        <w:jc w:val="both"/>
        <w:rPr>
          <w:color w:val="000000"/>
          <w:lang w:val="hr-HR" w:eastAsia="sr-Latn-CS"/>
        </w:rPr>
      </w:pP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Korisnik pomoći pripada određenim grupama:</w:t>
      </w:r>
    </w:p>
    <w:p w:rsidR="00610BA5" w:rsidRPr="00665BCF" w:rsidRDefault="00610BA5" w:rsidP="00610BA5">
      <w:pPr>
        <w:numPr>
          <w:ilvl w:val="0"/>
          <w:numId w:val="4"/>
        </w:numPr>
        <w:autoSpaceDE w:val="0"/>
        <w:autoSpaceDN w:val="0"/>
        <w:adjustRightInd w:val="0"/>
        <w:ind w:left="709" w:hanging="283"/>
        <w:jc w:val="both"/>
        <w:rPr>
          <w:color w:val="000000"/>
          <w:lang w:val="hr-HR" w:eastAsia="sr-Latn-CS"/>
        </w:rPr>
      </w:pPr>
      <w:r w:rsidRPr="00665BCF">
        <w:rPr>
          <w:color w:val="000000"/>
          <w:lang w:val="hr-HR" w:eastAsia="sr-Latn-CS"/>
        </w:rPr>
        <w:t xml:space="preserve">socijalne kategorije svoj status dokazuju relevantnim dokazima i to: posljednji ček od penzije, dokaz da se radi o korisniku socijalnih davanja od nadležnog centra za socijalni rad ili nadležne općinske službe za socijalnu i </w:t>
      </w:r>
      <w:proofErr w:type="spellStart"/>
      <w:r w:rsidRPr="00665BCF">
        <w:rPr>
          <w:color w:val="000000"/>
          <w:lang w:val="hr-HR" w:eastAsia="sr-Latn-CS"/>
        </w:rPr>
        <w:t>dječiju</w:t>
      </w:r>
      <w:proofErr w:type="spellEnd"/>
      <w:r w:rsidRPr="00665BCF">
        <w:rPr>
          <w:color w:val="000000"/>
          <w:lang w:val="hr-HR" w:eastAsia="sr-Latn-CS"/>
        </w:rPr>
        <w:t xml:space="preserve"> zaštitu, dokaz da se radi o civilnoj žrtvi rata i da  ostvaruje / ne ostvaruje prihode po tom osnovu,</w:t>
      </w:r>
    </w:p>
    <w:p w:rsidR="00610BA5" w:rsidRPr="00665BCF" w:rsidRDefault="00610BA5" w:rsidP="00610BA5">
      <w:pPr>
        <w:numPr>
          <w:ilvl w:val="0"/>
          <w:numId w:val="4"/>
        </w:numPr>
        <w:autoSpaceDE w:val="0"/>
        <w:autoSpaceDN w:val="0"/>
        <w:adjustRightInd w:val="0"/>
        <w:ind w:left="709" w:hanging="283"/>
        <w:jc w:val="both"/>
        <w:rPr>
          <w:color w:val="000000"/>
          <w:lang w:val="hr-HR" w:eastAsia="sr-Latn-CS"/>
        </w:rPr>
      </w:pPr>
      <w:r w:rsidRPr="00665BCF">
        <w:rPr>
          <w:color w:val="000000"/>
          <w:lang w:val="hr-HR" w:eastAsia="sr-Latn-CS"/>
        </w:rPr>
        <w:t>status lica s invaliditetom dokazuje se rješenjem koje se pribavlja od strane nadležnog organa (ratni vojni invalid, lice s urođenim ili stečenim invaliditetom i sl.),</w:t>
      </w:r>
    </w:p>
    <w:p w:rsidR="00610BA5" w:rsidRPr="00665BCF" w:rsidRDefault="00610BA5" w:rsidP="00610BA5">
      <w:pPr>
        <w:numPr>
          <w:ilvl w:val="0"/>
          <w:numId w:val="4"/>
        </w:numPr>
        <w:autoSpaceDE w:val="0"/>
        <w:autoSpaceDN w:val="0"/>
        <w:adjustRightInd w:val="0"/>
        <w:ind w:left="709" w:hanging="283"/>
        <w:jc w:val="both"/>
        <w:rPr>
          <w:color w:val="000000"/>
          <w:lang w:val="hr-HR" w:eastAsia="sr-Latn-CS"/>
        </w:rPr>
      </w:pPr>
      <w:r w:rsidRPr="00665BCF">
        <w:rPr>
          <w:color w:val="000000"/>
          <w:lang w:val="hr-HR" w:eastAsia="sr-Latn-CS"/>
        </w:rPr>
        <w:lastRenderedPageBreak/>
        <w:t xml:space="preserve">status samohranog roditelja, staratelja ili hranitelja dokazuje se relevantnim dokazom koji se pribavlja od strane nadležnog centra za socijalni rad ili općinskog organa uprave nadležnog za poslove socijalne i </w:t>
      </w:r>
      <w:proofErr w:type="spellStart"/>
      <w:r w:rsidRPr="00665BCF">
        <w:rPr>
          <w:color w:val="000000"/>
          <w:lang w:val="hr-HR" w:eastAsia="sr-Latn-CS"/>
        </w:rPr>
        <w:t>dječije</w:t>
      </w:r>
      <w:proofErr w:type="spellEnd"/>
      <w:r w:rsidRPr="00665BCF">
        <w:rPr>
          <w:color w:val="000000"/>
          <w:lang w:val="hr-HR" w:eastAsia="sr-Latn-CS"/>
        </w:rPr>
        <w:t xml:space="preserve"> zaštite kod kojeg se vodi službena evidencija,</w:t>
      </w:r>
    </w:p>
    <w:p w:rsidR="00610BA5" w:rsidRPr="00665BCF" w:rsidRDefault="00610BA5" w:rsidP="00610BA5">
      <w:pPr>
        <w:numPr>
          <w:ilvl w:val="0"/>
          <w:numId w:val="4"/>
        </w:numPr>
        <w:autoSpaceDE w:val="0"/>
        <w:autoSpaceDN w:val="0"/>
        <w:adjustRightInd w:val="0"/>
        <w:ind w:left="709" w:hanging="283"/>
        <w:jc w:val="both"/>
        <w:rPr>
          <w:color w:val="000000"/>
          <w:lang w:val="hr-HR" w:eastAsia="sr-Latn-CS"/>
        </w:rPr>
      </w:pPr>
      <w:r w:rsidRPr="00665BCF">
        <w:rPr>
          <w:color w:val="000000"/>
          <w:lang w:val="hr-HR" w:eastAsia="sr-Latn-CS"/>
        </w:rPr>
        <w:t xml:space="preserve">status </w:t>
      </w:r>
      <w:proofErr w:type="spellStart"/>
      <w:r w:rsidRPr="00665BCF">
        <w:rPr>
          <w:color w:val="000000"/>
          <w:lang w:val="hr-HR" w:eastAsia="sr-Latn-CS"/>
        </w:rPr>
        <w:t>šehidske</w:t>
      </w:r>
      <w:proofErr w:type="spellEnd"/>
      <w:r w:rsidRPr="00665BCF">
        <w:rPr>
          <w:color w:val="000000"/>
          <w:lang w:val="hr-HR" w:eastAsia="sr-Latn-CS"/>
        </w:rPr>
        <w:t xml:space="preserve"> porodice / porodice poginulog borca dokazuje se potvrdom koja se pribavlja od strane nadležnog organa kod kojeg se vodi službena evidencija,</w:t>
      </w:r>
    </w:p>
    <w:p w:rsidR="00610BA5" w:rsidRPr="00665BCF" w:rsidRDefault="00610BA5" w:rsidP="00610BA5">
      <w:pPr>
        <w:numPr>
          <w:ilvl w:val="0"/>
          <w:numId w:val="4"/>
        </w:numPr>
        <w:autoSpaceDE w:val="0"/>
        <w:autoSpaceDN w:val="0"/>
        <w:adjustRightInd w:val="0"/>
        <w:ind w:left="709" w:hanging="283"/>
        <w:jc w:val="both"/>
        <w:rPr>
          <w:color w:val="000000"/>
          <w:lang w:val="hr-HR" w:eastAsia="sr-Latn-CS"/>
        </w:rPr>
      </w:pPr>
      <w:r w:rsidRPr="00665BCF">
        <w:rPr>
          <w:color w:val="000000"/>
          <w:lang w:val="hr-HR" w:eastAsia="sr-Latn-CS"/>
        </w:rPr>
        <w:t>status porodice nestale/ih osoba dokazuje se potvrdom koja se pribavlja od strane nadležnog organa kod kojeg se vodi službena evidencija i</w:t>
      </w:r>
    </w:p>
    <w:p w:rsidR="00610BA5" w:rsidRPr="00665BCF" w:rsidRDefault="00610BA5" w:rsidP="00610BA5">
      <w:pPr>
        <w:numPr>
          <w:ilvl w:val="0"/>
          <w:numId w:val="4"/>
        </w:numPr>
        <w:autoSpaceDE w:val="0"/>
        <w:autoSpaceDN w:val="0"/>
        <w:adjustRightInd w:val="0"/>
        <w:ind w:left="709" w:hanging="283"/>
        <w:jc w:val="both"/>
        <w:rPr>
          <w:color w:val="000000"/>
          <w:lang w:val="hr-HR" w:eastAsia="sr-Latn-CS"/>
        </w:rPr>
      </w:pPr>
      <w:r w:rsidRPr="00665BCF">
        <w:rPr>
          <w:color w:val="000000"/>
          <w:lang w:val="hr-HR" w:eastAsia="sr-Latn-CS"/>
        </w:rPr>
        <w:t>status bivšeg logoraša dokazuje se potvrdom koja se pribavlja od strane nadležnog organa kod kojeg se vodi službena evidencija.</w:t>
      </w:r>
    </w:p>
    <w:p w:rsidR="00610BA5" w:rsidRPr="00665BCF" w:rsidRDefault="00610BA5" w:rsidP="00610BA5">
      <w:pPr>
        <w:autoSpaceDE w:val="0"/>
        <w:autoSpaceDN w:val="0"/>
        <w:adjustRightInd w:val="0"/>
        <w:jc w:val="both"/>
        <w:rPr>
          <w:b/>
          <w:bCs/>
          <w:color w:val="000000"/>
          <w:lang w:val="hr-HR" w:eastAsia="sr-Latn-CS"/>
        </w:rPr>
      </w:pPr>
    </w:p>
    <w:p w:rsidR="00610BA5" w:rsidRPr="00665BCF" w:rsidRDefault="00610BA5" w:rsidP="00610BA5">
      <w:pPr>
        <w:autoSpaceDE w:val="0"/>
        <w:autoSpaceDN w:val="0"/>
        <w:adjustRightInd w:val="0"/>
        <w:jc w:val="both"/>
        <w:rPr>
          <w:b/>
          <w:bCs/>
          <w:color w:val="000000"/>
          <w:lang w:val="hr-HR" w:eastAsia="sr-Latn-CS"/>
        </w:rPr>
      </w:pPr>
      <w:r w:rsidRPr="00665BCF">
        <w:rPr>
          <w:b/>
          <w:bCs/>
          <w:color w:val="000000"/>
          <w:lang w:val="hr-HR" w:eastAsia="sr-Latn-CS"/>
        </w:rPr>
        <w:t>4.3. Dokaz o boravku u tranzitno-prihvatnim i kolektivnim centrima</w:t>
      </w: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Činjenica da se korisnik nalazi u kolektivnim oblicima zbrinjavanja (tranzitno-prihvatni i kolektivni centri), alternativnom smještaju dokazuje se potvrdom nadležnog organa na čijoj teritoriji se nalazi kolektivni centar ili alternativni smještaj.</w:t>
      </w:r>
    </w:p>
    <w:p w:rsidR="00610BA5" w:rsidRPr="00665BCF" w:rsidRDefault="00610BA5" w:rsidP="00610BA5">
      <w:pPr>
        <w:autoSpaceDE w:val="0"/>
        <w:autoSpaceDN w:val="0"/>
        <w:adjustRightInd w:val="0"/>
        <w:jc w:val="both"/>
        <w:rPr>
          <w:color w:val="000000"/>
          <w:lang w:val="hr-HR" w:eastAsia="sr-Latn-CS"/>
        </w:rPr>
      </w:pP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Činjenica da korisnik zadovoljava uslove i ima/ostvaruje pravo na alternativni smještaj dokazuje se potvrdom nadležnog organa općine privremenog boravka.</w:t>
      </w:r>
    </w:p>
    <w:p w:rsidR="00610BA5" w:rsidRPr="00665BCF" w:rsidRDefault="00610BA5" w:rsidP="00610BA5">
      <w:pPr>
        <w:autoSpaceDE w:val="0"/>
        <w:autoSpaceDN w:val="0"/>
        <w:adjustRightInd w:val="0"/>
        <w:jc w:val="both"/>
        <w:rPr>
          <w:b/>
          <w:bCs/>
          <w:color w:val="000000"/>
          <w:lang w:val="hr-HR" w:eastAsia="sr-Latn-CS"/>
        </w:rPr>
      </w:pPr>
    </w:p>
    <w:p w:rsidR="00610BA5" w:rsidRPr="00665BCF" w:rsidRDefault="00610BA5" w:rsidP="00610BA5">
      <w:pPr>
        <w:autoSpaceDE w:val="0"/>
        <w:autoSpaceDN w:val="0"/>
        <w:adjustRightInd w:val="0"/>
        <w:jc w:val="both"/>
        <w:rPr>
          <w:b/>
          <w:bCs/>
          <w:color w:val="000000"/>
          <w:lang w:val="hr-HR" w:eastAsia="sr-Latn-CS"/>
        </w:rPr>
      </w:pPr>
      <w:r w:rsidRPr="00665BCF">
        <w:rPr>
          <w:b/>
          <w:bCs/>
          <w:color w:val="000000"/>
          <w:lang w:val="hr-HR" w:eastAsia="sr-Latn-CS"/>
        </w:rPr>
        <w:t>4.4. Dokaz o brojnosti porodice</w:t>
      </w: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Brojnost porodice koja ima više članova domaćinstva i njihova starosna dob, koji su se prijavili za povratak, dokazuje se kućnom listom, ovjerenom od strane nadležnog općinskog organa.</w:t>
      </w:r>
    </w:p>
    <w:p w:rsidR="00610BA5" w:rsidRPr="00665BCF" w:rsidRDefault="00610BA5" w:rsidP="00610BA5">
      <w:pPr>
        <w:autoSpaceDE w:val="0"/>
        <w:autoSpaceDN w:val="0"/>
        <w:adjustRightInd w:val="0"/>
        <w:jc w:val="both"/>
        <w:rPr>
          <w:color w:val="000000"/>
          <w:lang w:val="hr-HR" w:eastAsia="sr-Latn-CS"/>
        </w:rPr>
      </w:pPr>
    </w:p>
    <w:p w:rsidR="00610BA5" w:rsidRPr="00665BCF" w:rsidRDefault="00610BA5" w:rsidP="00610BA5">
      <w:pPr>
        <w:autoSpaceDE w:val="0"/>
        <w:autoSpaceDN w:val="0"/>
        <w:adjustRightInd w:val="0"/>
        <w:jc w:val="both"/>
        <w:rPr>
          <w:b/>
          <w:color w:val="000000"/>
          <w:lang w:val="hr-HR" w:eastAsia="sr-Latn-CS"/>
        </w:rPr>
      </w:pPr>
      <w:r w:rsidRPr="00665BCF">
        <w:rPr>
          <w:b/>
          <w:color w:val="000000"/>
          <w:lang w:val="hr-HR" w:eastAsia="sr-Latn-CS"/>
        </w:rPr>
        <w:t>5. Proces odabira korisnika</w:t>
      </w:r>
    </w:p>
    <w:p w:rsidR="00610BA5" w:rsidRPr="00665BCF" w:rsidRDefault="00610BA5" w:rsidP="00610BA5">
      <w:pPr>
        <w:autoSpaceDE w:val="0"/>
        <w:autoSpaceDN w:val="0"/>
        <w:adjustRightInd w:val="0"/>
        <w:jc w:val="both"/>
        <w:rPr>
          <w:b/>
          <w:color w:val="000000"/>
          <w:lang w:val="hr-HR" w:eastAsia="sr-Latn-CS"/>
        </w:rPr>
      </w:pPr>
    </w:p>
    <w:p w:rsidR="00610BA5" w:rsidRPr="00665BCF" w:rsidRDefault="00610BA5" w:rsidP="00610BA5">
      <w:pPr>
        <w:numPr>
          <w:ilvl w:val="0"/>
          <w:numId w:val="5"/>
        </w:numPr>
        <w:autoSpaceDE w:val="0"/>
        <w:autoSpaceDN w:val="0"/>
        <w:adjustRightInd w:val="0"/>
        <w:jc w:val="both"/>
        <w:rPr>
          <w:color w:val="000000"/>
          <w:lang w:val="hr-HR" w:eastAsia="sr-Latn-CS"/>
        </w:rPr>
      </w:pPr>
      <w:r w:rsidRPr="00665BCF">
        <w:rPr>
          <w:color w:val="000000"/>
          <w:lang w:val="hr-HR" w:eastAsia="sr-Latn-CS"/>
        </w:rPr>
        <w:t xml:space="preserve">Proces odabira korisnika se provodi u skladu s odredbama Zakona o slobodi pristupa informacijama u Bosni i Hercegovini („Službeni glasnik BiH“, broj: 28/00, 45/06, 102/09, 62/11 i 100/13) i Zakona o zaštiti ličnih podataka („Službeni glasnik </w:t>
      </w:r>
      <w:r w:rsidRPr="00665BCF">
        <w:rPr>
          <w:lang w:val="hr-HR" w:eastAsia="sr-Latn-CS"/>
        </w:rPr>
        <w:t>BiH“, broj: 49</w:t>
      </w:r>
      <w:r w:rsidRPr="00665BCF">
        <w:rPr>
          <w:color w:val="000000"/>
          <w:lang w:val="hr-HR" w:eastAsia="sr-Latn-CS"/>
        </w:rPr>
        <w:t>/06, 76/11 i 89/11).</w:t>
      </w:r>
    </w:p>
    <w:p w:rsidR="00610BA5" w:rsidRPr="00665BCF" w:rsidRDefault="00610BA5" w:rsidP="00610BA5">
      <w:pPr>
        <w:numPr>
          <w:ilvl w:val="0"/>
          <w:numId w:val="4"/>
        </w:numPr>
        <w:autoSpaceDE w:val="0"/>
        <w:autoSpaceDN w:val="0"/>
        <w:adjustRightInd w:val="0"/>
        <w:jc w:val="both"/>
        <w:rPr>
          <w:color w:val="000000"/>
          <w:lang w:val="hr-HR" w:eastAsia="sr-Latn-CS"/>
        </w:rPr>
      </w:pPr>
      <w:r w:rsidRPr="00665BCF">
        <w:rPr>
          <w:color w:val="000000"/>
          <w:lang w:val="hr-HR" w:eastAsia="sr-Latn-CS"/>
        </w:rPr>
        <w:t>Komisija za odabir korisnika razmotrit će sve pristigle prijave i na osnovu propisanih kriterija utvrditi preliminarnu listu korisnika.</w:t>
      </w:r>
    </w:p>
    <w:p w:rsidR="00610BA5" w:rsidRPr="00665BCF" w:rsidRDefault="00610BA5" w:rsidP="00610BA5">
      <w:pPr>
        <w:numPr>
          <w:ilvl w:val="0"/>
          <w:numId w:val="4"/>
        </w:numPr>
        <w:autoSpaceDE w:val="0"/>
        <w:autoSpaceDN w:val="0"/>
        <w:adjustRightInd w:val="0"/>
        <w:jc w:val="both"/>
        <w:rPr>
          <w:lang w:val="hr-HR" w:eastAsia="sr-Latn-CS"/>
        </w:rPr>
      </w:pPr>
      <w:r w:rsidRPr="00665BCF">
        <w:rPr>
          <w:color w:val="000000"/>
          <w:lang w:val="hr-HR" w:eastAsia="sr-Latn-CS"/>
        </w:rPr>
        <w:t xml:space="preserve">Preliminarna lista objavljuje se na </w:t>
      </w:r>
      <w:r w:rsidRPr="00665BCF">
        <w:rPr>
          <w:lang w:val="hr-HR" w:eastAsia="sr-Latn-CS"/>
        </w:rPr>
        <w:t xml:space="preserve">oglasnoj ploči Vlade Brčko distrikta BiH, Odjeljenja za raseljena lica, izbjeglice i stambena pitanja te web stranici </w:t>
      </w:r>
      <w:hyperlink r:id="rId7" w:history="1">
        <w:r w:rsidRPr="00665BCF">
          <w:rPr>
            <w:rStyle w:val="Hyperlink"/>
            <w:lang w:val="hr-HR" w:eastAsia="sr-Latn-CS"/>
          </w:rPr>
          <w:t>www.bdcentral.net</w:t>
        </w:r>
      </w:hyperlink>
      <w:r w:rsidRPr="00665BCF">
        <w:rPr>
          <w:u w:val="single"/>
          <w:lang w:val="hr-HR" w:eastAsia="sr-Latn-CS"/>
        </w:rPr>
        <w:t>.</w:t>
      </w:r>
    </w:p>
    <w:p w:rsidR="00610BA5" w:rsidRPr="00665BCF" w:rsidRDefault="00610BA5" w:rsidP="00610BA5">
      <w:pPr>
        <w:numPr>
          <w:ilvl w:val="0"/>
          <w:numId w:val="4"/>
        </w:numPr>
        <w:autoSpaceDE w:val="0"/>
        <w:autoSpaceDN w:val="0"/>
        <w:adjustRightInd w:val="0"/>
        <w:jc w:val="both"/>
        <w:rPr>
          <w:lang w:val="hr-HR" w:eastAsia="sr-Latn-CS"/>
        </w:rPr>
      </w:pPr>
      <w:r w:rsidRPr="00665BCF">
        <w:rPr>
          <w:lang w:val="hr-HR" w:eastAsia="sr-Latn-CS"/>
        </w:rPr>
        <w:t>Na preliminarnu listu svaki podnosilac prijave može uložiti pismeni prigovor.</w:t>
      </w:r>
    </w:p>
    <w:p w:rsidR="00610BA5" w:rsidRPr="00665BCF" w:rsidRDefault="00610BA5" w:rsidP="00610BA5">
      <w:pPr>
        <w:numPr>
          <w:ilvl w:val="0"/>
          <w:numId w:val="4"/>
        </w:numPr>
        <w:autoSpaceDE w:val="0"/>
        <w:autoSpaceDN w:val="0"/>
        <w:adjustRightInd w:val="0"/>
        <w:jc w:val="both"/>
        <w:rPr>
          <w:lang w:val="hr-HR" w:eastAsia="sr-Latn-CS"/>
        </w:rPr>
      </w:pPr>
      <w:r w:rsidRPr="00665BCF">
        <w:rPr>
          <w:lang w:val="hr-HR" w:eastAsia="sr-Latn-CS"/>
        </w:rPr>
        <w:t>Prigovor se podnosi drugostepenoj komisiji koju imenuje gradonačelnik, u roku od 15 dana od dana objavljivanja preliminarne liste.</w:t>
      </w:r>
    </w:p>
    <w:p w:rsidR="00610BA5" w:rsidRPr="00665BCF" w:rsidRDefault="00610BA5" w:rsidP="00610BA5">
      <w:pPr>
        <w:numPr>
          <w:ilvl w:val="0"/>
          <w:numId w:val="4"/>
        </w:numPr>
        <w:autoSpaceDE w:val="0"/>
        <w:autoSpaceDN w:val="0"/>
        <w:adjustRightInd w:val="0"/>
        <w:jc w:val="both"/>
        <w:rPr>
          <w:lang w:val="hr-HR" w:eastAsia="sr-Latn-CS"/>
        </w:rPr>
      </w:pPr>
      <w:r w:rsidRPr="00665BCF">
        <w:rPr>
          <w:lang w:val="hr-HR" w:eastAsia="sr-Latn-CS"/>
        </w:rPr>
        <w:t xml:space="preserve">Po okončanju postupka po prigovoru prvostepena komisija utvrđuje konačnu listu korisnika, koja se objavljuje na oglasnoj ploči Vlade Brčko distrikta BiH, Odjeljenja za raseljena lica, izbjeglice i stambena pitanja te web stranici </w:t>
      </w:r>
      <w:hyperlink r:id="rId8" w:history="1">
        <w:r w:rsidRPr="00665BCF">
          <w:rPr>
            <w:rStyle w:val="Hyperlink"/>
            <w:lang w:val="hr-HR" w:eastAsia="sr-Latn-CS"/>
          </w:rPr>
          <w:t>www.bdcentral.net</w:t>
        </w:r>
      </w:hyperlink>
      <w:r w:rsidRPr="00665BCF">
        <w:rPr>
          <w:u w:val="single"/>
          <w:lang w:val="hr-HR" w:eastAsia="sr-Latn-CS"/>
        </w:rPr>
        <w:t>.</w:t>
      </w:r>
    </w:p>
    <w:p w:rsidR="00610BA5" w:rsidRPr="00665BCF" w:rsidRDefault="00610BA5" w:rsidP="00610BA5">
      <w:pPr>
        <w:autoSpaceDE w:val="0"/>
        <w:autoSpaceDN w:val="0"/>
        <w:adjustRightInd w:val="0"/>
        <w:jc w:val="both"/>
        <w:rPr>
          <w:lang w:val="hr-HR" w:eastAsia="sr-Latn-CS"/>
        </w:rPr>
      </w:pPr>
    </w:p>
    <w:p w:rsidR="00610BA5" w:rsidRPr="00665BCF" w:rsidRDefault="00610BA5" w:rsidP="00610BA5">
      <w:pPr>
        <w:autoSpaceDE w:val="0"/>
        <w:autoSpaceDN w:val="0"/>
        <w:adjustRightInd w:val="0"/>
        <w:jc w:val="both"/>
        <w:rPr>
          <w:color w:val="FF0000"/>
          <w:lang w:val="hr-HR" w:eastAsia="sr-Latn-CS"/>
        </w:rPr>
      </w:pPr>
      <w:r w:rsidRPr="00665BCF">
        <w:rPr>
          <w:lang w:val="hr-HR" w:eastAsia="sr-Latn-CS"/>
        </w:rPr>
        <w:t xml:space="preserve">Okvirni rok za odabir korisnika je </w:t>
      </w:r>
      <w:r w:rsidRPr="00665BCF">
        <w:rPr>
          <w:b/>
          <w:lang w:val="hr-HR" w:eastAsia="sr-Latn-CS"/>
        </w:rPr>
        <w:t>90</w:t>
      </w:r>
      <w:r w:rsidRPr="00665BCF">
        <w:rPr>
          <w:lang w:val="hr-HR" w:eastAsia="sr-Latn-CS"/>
        </w:rPr>
        <w:t xml:space="preserve"> dana od dana zatvaranja Javnog poziva</w:t>
      </w:r>
      <w:r w:rsidRPr="00665BCF">
        <w:rPr>
          <w:color w:val="FF0000"/>
          <w:lang w:val="hr-HR" w:eastAsia="sr-Latn-CS"/>
        </w:rPr>
        <w:t>.</w:t>
      </w: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 xml:space="preserve"> </w:t>
      </w:r>
    </w:p>
    <w:p w:rsidR="00610BA5" w:rsidRPr="00665BCF" w:rsidRDefault="00610BA5" w:rsidP="00610BA5">
      <w:pPr>
        <w:autoSpaceDE w:val="0"/>
        <w:autoSpaceDN w:val="0"/>
        <w:adjustRightInd w:val="0"/>
        <w:jc w:val="both"/>
        <w:rPr>
          <w:b/>
          <w:bCs/>
          <w:color w:val="000000"/>
          <w:lang w:val="hr-HR" w:eastAsia="sr-Latn-CS"/>
        </w:rPr>
      </w:pPr>
      <w:r w:rsidRPr="00665BCF">
        <w:rPr>
          <w:b/>
          <w:bCs/>
          <w:color w:val="000000"/>
          <w:lang w:val="hr-HR" w:eastAsia="sr-Latn-CS"/>
        </w:rPr>
        <w:t>Podnošenje prijava i dokumenata:</w:t>
      </w:r>
    </w:p>
    <w:p w:rsidR="00610BA5" w:rsidRPr="00665BCF" w:rsidRDefault="00610BA5" w:rsidP="00610BA5">
      <w:pPr>
        <w:autoSpaceDE w:val="0"/>
        <w:autoSpaceDN w:val="0"/>
        <w:adjustRightInd w:val="0"/>
        <w:jc w:val="both"/>
        <w:rPr>
          <w:b/>
          <w:color w:val="000000"/>
          <w:lang w:val="hr-HR" w:eastAsia="sr-Latn-CS"/>
        </w:rPr>
      </w:pPr>
      <w:r w:rsidRPr="00665BCF">
        <w:rPr>
          <w:color w:val="000000"/>
          <w:lang w:val="hr-HR" w:eastAsia="sr-Latn-CS"/>
        </w:rPr>
        <w:t>Prijava za obnovu stambenih jedinica u okviru implementacije projekata obnove</w:t>
      </w:r>
      <w:r w:rsidRPr="00665BCF">
        <w:rPr>
          <w:b/>
          <w:bCs/>
          <w:color w:val="000000"/>
          <w:lang w:val="hr-HR" w:eastAsia="sr-Latn-CS"/>
        </w:rPr>
        <w:t xml:space="preserve"> </w:t>
      </w:r>
      <w:r w:rsidRPr="00665BCF">
        <w:rPr>
          <w:bCs/>
          <w:color w:val="000000"/>
          <w:lang w:val="hr-HR" w:eastAsia="sr-Latn-CS"/>
        </w:rPr>
        <w:t>individualnih stambenih objekata izbjeglica iz BiH, raseljenih lica u BiH i povratnika u Brčko distriktu Bosne i Hercegovine</w:t>
      </w:r>
      <w:r w:rsidRPr="00665BCF">
        <w:rPr>
          <w:color w:val="000000"/>
          <w:lang w:val="hr-HR" w:eastAsia="sr-Latn-CS"/>
        </w:rPr>
        <w:t xml:space="preserve"> koji se </w:t>
      </w:r>
      <w:proofErr w:type="spellStart"/>
      <w:r w:rsidRPr="00665BCF">
        <w:rPr>
          <w:color w:val="000000"/>
          <w:lang w:val="hr-HR" w:eastAsia="sr-Latn-CS"/>
        </w:rPr>
        <w:t>finansira</w:t>
      </w:r>
      <w:proofErr w:type="spellEnd"/>
      <w:r w:rsidRPr="00665BCF">
        <w:rPr>
          <w:color w:val="000000"/>
          <w:lang w:val="hr-HR" w:eastAsia="sr-Latn-CS"/>
        </w:rPr>
        <w:t xml:space="preserve"> </w:t>
      </w:r>
      <w:r w:rsidRPr="00665BCF">
        <w:rPr>
          <w:lang w:val="hr-HR" w:eastAsia="sr-Latn-CS"/>
        </w:rPr>
        <w:t>iz Budžeta Brčko</w:t>
      </w:r>
      <w:r w:rsidRPr="00665BCF">
        <w:rPr>
          <w:color w:val="000000"/>
          <w:lang w:val="hr-HR" w:eastAsia="sr-Latn-CS"/>
        </w:rPr>
        <w:t xml:space="preserve"> distrikta BiH u 2022. godini, s </w:t>
      </w:r>
      <w:r w:rsidRPr="00665BCF">
        <w:rPr>
          <w:lang w:val="hr-HR" w:eastAsia="sr-Latn-CS"/>
        </w:rPr>
        <w:t>popunjenim obrascem prijave/izjave i pratećom dokumentacijom kojom se dokazuje ispunjavanje općih i posebnih kriterija, dostaviti u zatvorenoj koverti u zgradu Vlade Brčko distrikta BiH – Bulevar mira br. 1, na šalter broj 9, svakim radnim danom od 07.30 do 15.00 sati ili poštom na adresu: Vlada Brčko distrikta BiH,</w:t>
      </w:r>
      <w:r w:rsidRPr="00665BCF">
        <w:rPr>
          <w:color w:val="000000"/>
          <w:lang w:val="hr-HR" w:eastAsia="sr-Latn-CS"/>
        </w:rPr>
        <w:t xml:space="preserve"> Odjeljenje za raseljena lica, izbjeglice i </w:t>
      </w:r>
      <w:r w:rsidRPr="00665BCF">
        <w:rPr>
          <w:color w:val="000000"/>
          <w:lang w:val="hr-HR" w:eastAsia="sr-Latn-CS"/>
        </w:rPr>
        <w:lastRenderedPageBreak/>
        <w:t xml:space="preserve">stambena pitanja, Bulevar mira br. 1, poštanski broj 76100 Brčko, </w:t>
      </w:r>
      <w:r w:rsidRPr="00665BCF">
        <w:rPr>
          <w:lang w:val="hr-HR" w:eastAsia="sr-Latn-CS"/>
        </w:rPr>
        <w:t>s naznakom:</w:t>
      </w:r>
      <w:r w:rsidRPr="00665BCF">
        <w:rPr>
          <w:color w:val="000000"/>
          <w:lang w:val="hr-HR" w:eastAsia="sr-Latn-CS"/>
        </w:rPr>
        <w:t xml:space="preserve"> </w:t>
      </w:r>
      <w:r w:rsidRPr="00665BCF">
        <w:rPr>
          <w:b/>
          <w:color w:val="000000"/>
          <w:lang w:val="hr-HR" w:eastAsia="sr-Latn-CS"/>
        </w:rPr>
        <w:t>„ZA JAVNI POZIV U OKVIRU PROJEKTA  OBNOVE INDIVIDUALNIH STAMBENIH OBJEKATA IZBJEGLICA IZ BiH, RASELJENIH LICA U BiH I POVRATNIKA U BRČKO DISTRIKT BiH – NE OTVARAJ“</w:t>
      </w:r>
      <w:r w:rsidRPr="00665BCF">
        <w:rPr>
          <w:color w:val="000000"/>
          <w:lang w:val="hr-HR" w:eastAsia="sr-Latn-CS"/>
        </w:rPr>
        <w:t>.</w:t>
      </w:r>
    </w:p>
    <w:p w:rsidR="00610BA5" w:rsidRPr="00665BCF" w:rsidRDefault="00610BA5" w:rsidP="00610BA5">
      <w:pPr>
        <w:jc w:val="both"/>
        <w:rPr>
          <w:b/>
          <w:bCs/>
          <w:color w:val="000000"/>
          <w:lang w:val="hr-HR" w:eastAsia="sr-Latn-CS"/>
        </w:rPr>
      </w:pPr>
    </w:p>
    <w:p w:rsidR="00610BA5" w:rsidRPr="00665BCF" w:rsidRDefault="00610BA5" w:rsidP="00610BA5">
      <w:pPr>
        <w:jc w:val="both"/>
        <w:rPr>
          <w:lang w:val="hr-HR"/>
        </w:rPr>
      </w:pPr>
      <w:r w:rsidRPr="00665BCF">
        <w:rPr>
          <w:b/>
          <w:bCs/>
          <w:color w:val="000000"/>
          <w:lang w:val="hr-HR" w:eastAsia="sr-Latn-CS"/>
        </w:rPr>
        <w:t xml:space="preserve">Obrazac Prijave/Izjave </w:t>
      </w:r>
      <w:r w:rsidRPr="00665BCF">
        <w:rPr>
          <w:color w:val="000000"/>
          <w:lang w:val="hr-HR" w:eastAsia="sr-Latn-CS"/>
        </w:rPr>
        <w:t xml:space="preserve">se može </w:t>
      </w:r>
      <w:r w:rsidRPr="00665BCF">
        <w:rPr>
          <w:lang w:val="hr-HR" w:eastAsia="sr-Latn-CS"/>
        </w:rPr>
        <w:t xml:space="preserve">preuzeti na </w:t>
      </w:r>
      <w:proofErr w:type="spellStart"/>
      <w:r w:rsidRPr="00665BCF">
        <w:rPr>
          <w:lang w:val="hr-HR" w:eastAsia="sr-Latn-CS"/>
        </w:rPr>
        <w:t>infopultu</w:t>
      </w:r>
      <w:proofErr w:type="spellEnd"/>
      <w:r w:rsidRPr="00665BCF">
        <w:rPr>
          <w:lang w:val="hr-HR" w:eastAsia="sr-Latn-CS"/>
        </w:rPr>
        <w:t xml:space="preserve"> u zgradi Vlade Brčko distrikta BiH – Bulevar mira br. 1, kao i na </w:t>
      </w:r>
      <w:proofErr w:type="spellStart"/>
      <w:r w:rsidRPr="00665BCF">
        <w:rPr>
          <w:lang w:val="hr-HR" w:eastAsia="sr-Latn-CS"/>
        </w:rPr>
        <w:t>internet</w:t>
      </w:r>
      <w:proofErr w:type="spellEnd"/>
      <w:r w:rsidRPr="00665BCF">
        <w:rPr>
          <w:lang w:val="hr-HR" w:eastAsia="sr-Latn-CS"/>
        </w:rPr>
        <w:t xml:space="preserve"> stranici </w:t>
      </w:r>
      <w:r w:rsidRPr="00665BCF">
        <w:rPr>
          <w:lang w:val="hr-HR"/>
        </w:rPr>
        <w:t xml:space="preserve"> </w:t>
      </w:r>
      <w:hyperlink r:id="rId9" w:history="1">
        <w:r w:rsidRPr="00665BCF">
          <w:rPr>
            <w:rStyle w:val="Hyperlink"/>
            <w:lang w:val="hr-HR"/>
          </w:rPr>
          <w:t>www.bdcentral.net</w:t>
        </w:r>
      </w:hyperlink>
      <w:r w:rsidRPr="00665BCF">
        <w:rPr>
          <w:lang w:val="hr-HR"/>
        </w:rPr>
        <w:t>.</w:t>
      </w:r>
    </w:p>
    <w:p w:rsidR="00610BA5" w:rsidRPr="00665BCF" w:rsidRDefault="00610BA5" w:rsidP="00610BA5">
      <w:pPr>
        <w:ind w:left="360"/>
        <w:jc w:val="both"/>
        <w:rPr>
          <w:lang w:val="hr-HR"/>
        </w:rPr>
      </w:pPr>
    </w:p>
    <w:p w:rsidR="00610BA5" w:rsidRPr="00665BCF" w:rsidRDefault="00610BA5" w:rsidP="00610BA5">
      <w:pPr>
        <w:jc w:val="both"/>
        <w:rPr>
          <w:lang w:val="hr-HR"/>
        </w:rPr>
      </w:pPr>
      <w:r w:rsidRPr="00665BCF">
        <w:rPr>
          <w:lang w:val="hr-HR"/>
        </w:rPr>
        <w:t xml:space="preserve">Javni poziv je otvoren 30 dana i traje </w:t>
      </w:r>
      <w:r w:rsidRPr="00665BCF">
        <w:rPr>
          <w:b/>
          <w:lang w:val="hr-HR"/>
        </w:rPr>
        <w:t>od 17. 1. 2022. do 16. 2. 2022. godine</w:t>
      </w:r>
      <w:r w:rsidRPr="00665BCF">
        <w:rPr>
          <w:lang w:val="hr-HR"/>
        </w:rPr>
        <w:t xml:space="preserve"> i bit će objavljen na oglasnoj ploči Vlade Brčko distrikta BiH i Odjeljenja za raseljena lica, izbjeglice i stambena pitanja, te web stranici </w:t>
      </w:r>
      <w:hyperlink r:id="rId10" w:history="1">
        <w:r w:rsidRPr="00665BCF">
          <w:rPr>
            <w:rStyle w:val="Hyperlink"/>
            <w:lang w:val="hr-HR"/>
          </w:rPr>
          <w:t>www.bdcentral.net</w:t>
        </w:r>
      </w:hyperlink>
      <w:r w:rsidRPr="00665BCF">
        <w:rPr>
          <w:lang w:val="hr-HR"/>
        </w:rPr>
        <w:t xml:space="preserve">. </w:t>
      </w:r>
    </w:p>
    <w:p w:rsidR="00610BA5" w:rsidRPr="00665BCF" w:rsidRDefault="00610BA5" w:rsidP="00610BA5">
      <w:pPr>
        <w:ind w:left="360"/>
        <w:jc w:val="both"/>
        <w:rPr>
          <w:lang w:val="hr-HR"/>
        </w:rPr>
      </w:pPr>
    </w:p>
    <w:p w:rsidR="00610BA5" w:rsidRPr="00665BCF" w:rsidRDefault="00610BA5" w:rsidP="00610BA5">
      <w:pPr>
        <w:autoSpaceDE w:val="0"/>
        <w:autoSpaceDN w:val="0"/>
        <w:adjustRightInd w:val="0"/>
        <w:jc w:val="both"/>
        <w:rPr>
          <w:color w:val="000000"/>
          <w:lang w:val="hr-HR" w:eastAsia="sr-Latn-CS"/>
        </w:rPr>
      </w:pPr>
      <w:r w:rsidRPr="00665BCF">
        <w:rPr>
          <w:color w:val="000000"/>
          <w:lang w:val="hr-HR" w:eastAsia="sr-Latn-CS"/>
        </w:rPr>
        <w:t>Dokumentacija kojom se dokazuje ispunjenost općih i posebnih kriterija, a koja je u ranijim javnim pozivima dostavljena Odjeljenju, koristit će se u postupku izrade preliminarne liste korisnika.</w:t>
      </w:r>
    </w:p>
    <w:p w:rsidR="00610BA5" w:rsidRPr="00665BCF" w:rsidRDefault="00610BA5" w:rsidP="00610BA5">
      <w:pPr>
        <w:autoSpaceDE w:val="0"/>
        <w:autoSpaceDN w:val="0"/>
        <w:adjustRightInd w:val="0"/>
        <w:jc w:val="both"/>
        <w:rPr>
          <w:color w:val="000000"/>
          <w:lang w:val="hr-HR" w:eastAsia="sr-Latn-CS"/>
        </w:rPr>
      </w:pPr>
    </w:p>
    <w:p w:rsidR="00610BA5" w:rsidRPr="00665BCF" w:rsidRDefault="00610BA5" w:rsidP="00610BA5">
      <w:pPr>
        <w:autoSpaceDE w:val="0"/>
        <w:autoSpaceDN w:val="0"/>
        <w:adjustRightInd w:val="0"/>
        <w:jc w:val="both"/>
        <w:rPr>
          <w:bCs/>
          <w:color w:val="000000"/>
          <w:lang w:val="hr-HR" w:eastAsia="sr-Latn-CS"/>
        </w:rPr>
      </w:pPr>
      <w:r w:rsidRPr="00665BCF">
        <w:rPr>
          <w:bCs/>
          <w:color w:val="000000"/>
          <w:lang w:val="hr-HR" w:eastAsia="sr-Latn-CS"/>
        </w:rPr>
        <w:t>Prijave podnesene mimo utvrđenog roka neće biti razmatrane.</w:t>
      </w:r>
    </w:p>
    <w:p w:rsidR="00610BA5" w:rsidRPr="00665BCF" w:rsidRDefault="00610BA5" w:rsidP="00610BA5">
      <w:pPr>
        <w:autoSpaceDE w:val="0"/>
        <w:autoSpaceDN w:val="0"/>
        <w:adjustRightInd w:val="0"/>
        <w:jc w:val="both"/>
        <w:rPr>
          <w:bCs/>
          <w:color w:val="000000"/>
          <w:lang w:val="hr-HR" w:eastAsia="sr-Latn-CS"/>
        </w:rPr>
      </w:pPr>
    </w:p>
    <w:p w:rsidR="00610BA5" w:rsidRPr="00665BCF" w:rsidRDefault="00610BA5" w:rsidP="00610BA5">
      <w:pPr>
        <w:autoSpaceDE w:val="0"/>
        <w:autoSpaceDN w:val="0"/>
        <w:adjustRightInd w:val="0"/>
        <w:jc w:val="both"/>
        <w:rPr>
          <w:bCs/>
          <w:color w:val="000000"/>
          <w:lang w:val="hr-HR" w:eastAsia="sr-Latn-CS"/>
        </w:rPr>
      </w:pPr>
    </w:p>
    <w:p w:rsidR="00610BA5" w:rsidRPr="00665BCF" w:rsidRDefault="00610BA5" w:rsidP="00610BA5">
      <w:pPr>
        <w:autoSpaceDE w:val="0"/>
        <w:autoSpaceDN w:val="0"/>
        <w:adjustRightInd w:val="0"/>
        <w:jc w:val="both"/>
        <w:rPr>
          <w:bCs/>
          <w:color w:val="000000"/>
          <w:lang w:val="hr-HR" w:eastAsia="sr-Latn-CS"/>
        </w:rPr>
      </w:pPr>
    </w:p>
    <w:tbl>
      <w:tblPr>
        <w:tblW w:w="10173" w:type="dxa"/>
        <w:tblLook w:val="04A0" w:firstRow="1" w:lastRow="0" w:firstColumn="1" w:lastColumn="0" w:noHBand="0" w:noVBand="1"/>
      </w:tblPr>
      <w:tblGrid>
        <w:gridCol w:w="4593"/>
        <w:gridCol w:w="236"/>
        <w:gridCol w:w="5344"/>
      </w:tblGrid>
      <w:tr w:rsidR="00610BA5" w:rsidRPr="00665BCF" w:rsidTr="00610BA5">
        <w:tc>
          <w:tcPr>
            <w:tcW w:w="4593" w:type="dxa"/>
            <w:hideMark/>
          </w:tcPr>
          <w:p w:rsidR="00610BA5" w:rsidRPr="00665BCF" w:rsidRDefault="00610BA5">
            <w:pPr>
              <w:jc w:val="both"/>
              <w:rPr>
                <w:b/>
                <w:lang w:val="hr-HR"/>
              </w:rPr>
            </w:pPr>
            <w:r w:rsidRPr="00665BCF">
              <w:rPr>
                <w:b/>
                <w:lang w:val="hr-HR"/>
              </w:rPr>
              <w:t>DOSTAVITI:</w:t>
            </w:r>
          </w:p>
        </w:tc>
        <w:tc>
          <w:tcPr>
            <w:tcW w:w="236" w:type="dxa"/>
          </w:tcPr>
          <w:p w:rsidR="00610BA5" w:rsidRPr="00665BCF" w:rsidRDefault="00610BA5">
            <w:pPr>
              <w:jc w:val="both"/>
              <w:rPr>
                <w:lang w:val="hr-HR"/>
              </w:rPr>
            </w:pPr>
          </w:p>
        </w:tc>
        <w:tc>
          <w:tcPr>
            <w:tcW w:w="5344" w:type="dxa"/>
            <w:hideMark/>
          </w:tcPr>
          <w:p w:rsidR="00610BA5" w:rsidRPr="00665BCF" w:rsidRDefault="00610BA5">
            <w:pPr>
              <w:keepNext/>
              <w:outlineLvl w:val="0"/>
              <w:rPr>
                <w:b/>
                <w:spacing w:val="26"/>
                <w:kern w:val="24"/>
                <w:lang w:val="hr-HR" w:eastAsia="hr-HR"/>
              </w:rPr>
            </w:pPr>
            <w:r w:rsidRPr="00665BCF">
              <w:rPr>
                <w:b/>
                <w:spacing w:val="26"/>
                <w:kern w:val="24"/>
                <w:lang w:val="hr-HR" w:eastAsia="hr-HR"/>
              </w:rPr>
              <w:t xml:space="preserve">              ŠEFICA  ODJELJENJA</w:t>
            </w:r>
          </w:p>
        </w:tc>
      </w:tr>
      <w:tr w:rsidR="00610BA5" w:rsidRPr="00665BCF" w:rsidTr="00610BA5">
        <w:tc>
          <w:tcPr>
            <w:tcW w:w="4593" w:type="dxa"/>
            <w:hideMark/>
          </w:tcPr>
          <w:p w:rsidR="00610BA5" w:rsidRPr="00665BCF" w:rsidRDefault="00610BA5">
            <w:pPr>
              <w:numPr>
                <w:ilvl w:val="0"/>
                <w:numId w:val="6"/>
              </w:numPr>
              <w:jc w:val="both"/>
              <w:rPr>
                <w:lang w:val="hr-HR"/>
              </w:rPr>
            </w:pPr>
            <w:r w:rsidRPr="00665BCF">
              <w:rPr>
                <w:lang w:val="hr-HR"/>
              </w:rPr>
              <w:t>Za oglasnu ploču Vlade</w:t>
            </w:r>
          </w:p>
          <w:p w:rsidR="00610BA5" w:rsidRPr="00665BCF" w:rsidRDefault="00610BA5">
            <w:pPr>
              <w:numPr>
                <w:ilvl w:val="0"/>
                <w:numId w:val="6"/>
              </w:numPr>
              <w:rPr>
                <w:lang w:val="hr-HR"/>
              </w:rPr>
            </w:pPr>
            <w:r w:rsidRPr="00665BCF">
              <w:rPr>
                <w:lang w:val="hr-HR"/>
              </w:rPr>
              <w:t xml:space="preserve">Za oglasnu ploču Odjeljenja za </w:t>
            </w:r>
            <w:r w:rsidRPr="00665BCF">
              <w:rPr>
                <w:iCs/>
                <w:lang w:val="hr-HR"/>
              </w:rPr>
              <w:t>raseljena lica, izbjeglice i stambena pitanja</w:t>
            </w:r>
          </w:p>
        </w:tc>
        <w:tc>
          <w:tcPr>
            <w:tcW w:w="236" w:type="dxa"/>
          </w:tcPr>
          <w:p w:rsidR="00610BA5" w:rsidRPr="00665BCF" w:rsidRDefault="00610BA5">
            <w:pPr>
              <w:jc w:val="both"/>
              <w:rPr>
                <w:lang w:val="hr-HR"/>
              </w:rPr>
            </w:pPr>
          </w:p>
        </w:tc>
        <w:tc>
          <w:tcPr>
            <w:tcW w:w="5344" w:type="dxa"/>
            <w:hideMark/>
          </w:tcPr>
          <w:p w:rsidR="00610BA5" w:rsidRPr="00665BCF" w:rsidRDefault="00610BA5">
            <w:pPr>
              <w:rPr>
                <w:b/>
                <w:bCs/>
                <w:lang w:val="hr-HR"/>
              </w:rPr>
            </w:pPr>
            <w:r w:rsidRPr="00665BCF">
              <w:rPr>
                <w:b/>
                <w:bCs/>
                <w:lang w:val="hr-HR"/>
              </w:rPr>
              <w:t xml:space="preserve">        </w:t>
            </w:r>
          </w:p>
          <w:p w:rsidR="00610BA5" w:rsidRPr="00665BCF" w:rsidRDefault="00610BA5">
            <w:pPr>
              <w:rPr>
                <w:b/>
                <w:bCs/>
                <w:lang w:val="hr-HR"/>
              </w:rPr>
            </w:pPr>
            <w:r w:rsidRPr="00665BCF">
              <w:rPr>
                <w:b/>
                <w:lang w:val="hr-HR" w:eastAsia="en-US"/>
              </w:rPr>
              <w:t xml:space="preserve">                          Ljubica Ilić, </w:t>
            </w:r>
            <w:proofErr w:type="spellStart"/>
            <w:r w:rsidRPr="00665BCF">
              <w:rPr>
                <w:b/>
                <w:lang w:val="hr-HR" w:eastAsia="en-US"/>
              </w:rPr>
              <w:t>mag</w:t>
            </w:r>
            <w:proofErr w:type="spellEnd"/>
            <w:r w:rsidRPr="00665BCF">
              <w:rPr>
                <w:b/>
                <w:lang w:val="hr-HR" w:eastAsia="en-US"/>
              </w:rPr>
              <w:t>. biol.</w:t>
            </w:r>
          </w:p>
        </w:tc>
      </w:tr>
      <w:tr w:rsidR="00610BA5" w:rsidRPr="00665BCF" w:rsidTr="00610BA5">
        <w:tc>
          <w:tcPr>
            <w:tcW w:w="4593" w:type="dxa"/>
            <w:hideMark/>
          </w:tcPr>
          <w:p w:rsidR="00610BA5" w:rsidRPr="00665BCF" w:rsidRDefault="00610BA5">
            <w:pPr>
              <w:numPr>
                <w:ilvl w:val="0"/>
                <w:numId w:val="6"/>
              </w:numPr>
              <w:jc w:val="both"/>
              <w:rPr>
                <w:lang w:val="hr-HR"/>
              </w:rPr>
            </w:pPr>
            <w:r w:rsidRPr="00665BCF">
              <w:rPr>
                <w:lang w:val="hr-HR"/>
              </w:rPr>
              <w:t>Za web portal</w:t>
            </w:r>
          </w:p>
          <w:p w:rsidR="00610BA5" w:rsidRPr="00665BCF" w:rsidRDefault="00610BA5">
            <w:pPr>
              <w:numPr>
                <w:ilvl w:val="0"/>
                <w:numId w:val="6"/>
              </w:numPr>
              <w:jc w:val="both"/>
              <w:rPr>
                <w:lang w:val="hr-HR"/>
              </w:rPr>
            </w:pPr>
            <w:r w:rsidRPr="00665BCF">
              <w:rPr>
                <w:lang w:val="hr-HR"/>
              </w:rPr>
              <w:t>Evidenciji</w:t>
            </w:r>
          </w:p>
          <w:p w:rsidR="00610BA5" w:rsidRPr="00665BCF" w:rsidRDefault="00610BA5">
            <w:pPr>
              <w:numPr>
                <w:ilvl w:val="0"/>
                <w:numId w:val="6"/>
              </w:numPr>
              <w:jc w:val="both"/>
              <w:rPr>
                <w:lang w:val="hr-HR"/>
              </w:rPr>
            </w:pPr>
            <w:r w:rsidRPr="00665BCF">
              <w:rPr>
                <w:lang w:val="hr-HR"/>
              </w:rPr>
              <w:t>Arhivi.</w:t>
            </w:r>
          </w:p>
        </w:tc>
        <w:tc>
          <w:tcPr>
            <w:tcW w:w="236" w:type="dxa"/>
          </w:tcPr>
          <w:p w:rsidR="00610BA5" w:rsidRPr="00665BCF" w:rsidRDefault="00610BA5">
            <w:pPr>
              <w:jc w:val="both"/>
              <w:rPr>
                <w:lang w:val="hr-HR"/>
              </w:rPr>
            </w:pPr>
          </w:p>
        </w:tc>
        <w:tc>
          <w:tcPr>
            <w:tcW w:w="5344" w:type="dxa"/>
            <w:hideMark/>
          </w:tcPr>
          <w:p w:rsidR="00610BA5" w:rsidRPr="00665BCF" w:rsidRDefault="00610BA5">
            <w:pPr>
              <w:rPr>
                <w:b/>
                <w:bCs/>
                <w:lang w:val="hr-HR"/>
              </w:rPr>
            </w:pPr>
            <w:r w:rsidRPr="00665BCF">
              <w:rPr>
                <w:b/>
                <w:bCs/>
                <w:lang w:val="hr-HR"/>
              </w:rPr>
              <w:t xml:space="preserve">     </w:t>
            </w:r>
          </w:p>
        </w:tc>
      </w:tr>
    </w:tbl>
    <w:p w:rsidR="00610BA5" w:rsidRPr="00665BCF" w:rsidRDefault="00610BA5" w:rsidP="00610BA5">
      <w:pPr>
        <w:tabs>
          <w:tab w:val="left" w:pos="1755"/>
        </w:tabs>
        <w:rPr>
          <w:rFonts w:ascii="Arial" w:hAnsi="Arial" w:cs="Arial"/>
          <w:sz w:val="28"/>
          <w:szCs w:val="28"/>
          <w:lang w:val="hr-HR"/>
        </w:rPr>
      </w:pPr>
    </w:p>
    <w:p w:rsidR="00610BA5" w:rsidRPr="00665BCF" w:rsidRDefault="00610BA5" w:rsidP="00610BA5">
      <w:pPr>
        <w:rPr>
          <w:sz w:val="22"/>
          <w:szCs w:val="22"/>
          <w:lang w:val="hr-HR"/>
        </w:rPr>
      </w:pPr>
    </w:p>
    <w:p w:rsidR="00610BA5" w:rsidRPr="00665BCF" w:rsidRDefault="00610BA5" w:rsidP="00610BA5">
      <w:pPr>
        <w:rPr>
          <w:lang w:val="hr-HR"/>
        </w:rPr>
      </w:pPr>
      <w:r w:rsidRPr="00665BCF">
        <w:rPr>
          <w:rFonts w:ascii="Arial" w:hAnsi="Arial" w:cs="Arial"/>
          <w:sz w:val="22"/>
          <w:szCs w:val="22"/>
          <w:lang w:val="hr-HR"/>
        </w:rPr>
        <w:t xml:space="preserve"> </w:t>
      </w:r>
    </w:p>
    <w:p w:rsidR="0003529B" w:rsidRPr="00665BCF" w:rsidRDefault="0003529B">
      <w:pPr>
        <w:rPr>
          <w:lang w:val="hr-HR"/>
        </w:rPr>
      </w:pPr>
    </w:p>
    <w:sectPr w:rsidR="0003529B" w:rsidRPr="00665BCF" w:rsidSect="008F314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E31"/>
    <w:multiLevelType w:val="hybridMultilevel"/>
    <w:tmpl w:val="542EC114"/>
    <w:lvl w:ilvl="0" w:tplc="081A0001">
      <w:start w:val="1"/>
      <w:numFmt w:val="bullet"/>
      <w:lvlText w:val=""/>
      <w:lvlJc w:val="left"/>
      <w:pPr>
        <w:tabs>
          <w:tab w:val="num" w:pos="502"/>
        </w:tabs>
        <w:ind w:left="502" w:hanging="360"/>
      </w:pPr>
      <w:rPr>
        <w:rFonts w:ascii="Symbol" w:hAnsi="Symbol" w:hint="default"/>
      </w:rPr>
    </w:lvl>
    <w:lvl w:ilvl="1" w:tplc="081A0003">
      <w:start w:val="1"/>
      <w:numFmt w:val="bullet"/>
      <w:lvlText w:val="o"/>
      <w:lvlJc w:val="left"/>
      <w:pPr>
        <w:tabs>
          <w:tab w:val="num" w:pos="1222"/>
        </w:tabs>
        <w:ind w:left="1222" w:hanging="360"/>
      </w:pPr>
      <w:rPr>
        <w:rFonts w:ascii="Courier New" w:hAnsi="Courier New" w:cs="Courier New" w:hint="default"/>
      </w:rPr>
    </w:lvl>
    <w:lvl w:ilvl="2" w:tplc="081A0005">
      <w:start w:val="1"/>
      <w:numFmt w:val="bullet"/>
      <w:lvlText w:val=""/>
      <w:lvlJc w:val="left"/>
      <w:pPr>
        <w:tabs>
          <w:tab w:val="num" w:pos="1942"/>
        </w:tabs>
        <w:ind w:left="1942" w:hanging="360"/>
      </w:pPr>
      <w:rPr>
        <w:rFonts w:ascii="Wingdings" w:hAnsi="Wingdings" w:hint="default"/>
      </w:rPr>
    </w:lvl>
    <w:lvl w:ilvl="3" w:tplc="081A0001">
      <w:start w:val="1"/>
      <w:numFmt w:val="bullet"/>
      <w:lvlText w:val=""/>
      <w:lvlJc w:val="left"/>
      <w:pPr>
        <w:tabs>
          <w:tab w:val="num" w:pos="2662"/>
        </w:tabs>
        <w:ind w:left="2662" w:hanging="360"/>
      </w:pPr>
      <w:rPr>
        <w:rFonts w:ascii="Symbol" w:hAnsi="Symbol" w:hint="default"/>
      </w:rPr>
    </w:lvl>
    <w:lvl w:ilvl="4" w:tplc="081A0003">
      <w:start w:val="1"/>
      <w:numFmt w:val="bullet"/>
      <w:lvlText w:val="o"/>
      <w:lvlJc w:val="left"/>
      <w:pPr>
        <w:tabs>
          <w:tab w:val="num" w:pos="3382"/>
        </w:tabs>
        <w:ind w:left="3382" w:hanging="360"/>
      </w:pPr>
      <w:rPr>
        <w:rFonts w:ascii="Courier New" w:hAnsi="Courier New" w:cs="Courier New" w:hint="default"/>
      </w:rPr>
    </w:lvl>
    <w:lvl w:ilvl="5" w:tplc="081A0005">
      <w:start w:val="1"/>
      <w:numFmt w:val="bullet"/>
      <w:lvlText w:val=""/>
      <w:lvlJc w:val="left"/>
      <w:pPr>
        <w:tabs>
          <w:tab w:val="num" w:pos="4102"/>
        </w:tabs>
        <w:ind w:left="4102" w:hanging="360"/>
      </w:pPr>
      <w:rPr>
        <w:rFonts w:ascii="Wingdings" w:hAnsi="Wingdings" w:hint="default"/>
      </w:rPr>
    </w:lvl>
    <w:lvl w:ilvl="6" w:tplc="081A0001">
      <w:start w:val="1"/>
      <w:numFmt w:val="bullet"/>
      <w:lvlText w:val=""/>
      <w:lvlJc w:val="left"/>
      <w:pPr>
        <w:tabs>
          <w:tab w:val="num" w:pos="4822"/>
        </w:tabs>
        <w:ind w:left="4822" w:hanging="360"/>
      </w:pPr>
      <w:rPr>
        <w:rFonts w:ascii="Symbol" w:hAnsi="Symbol" w:hint="default"/>
      </w:rPr>
    </w:lvl>
    <w:lvl w:ilvl="7" w:tplc="081A0003">
      <w:start w:val="1"/>
      <w:numFmt w:val="bullet"/>
      <w:lvlText w:val="o"/>
      <w:lvlJc w:val="left"/>
      <w:pPr>
        <w:tabs>
          <w:tab w:val="num" w:pos="5542"/>
        </w:tabs>
        <w:ind w:left="5542" w:hanging="360"/>
      </w:pPr>
      <w:rPr>
        <w:rFonts w:ascii="Courier New" w:hAnsi="Courier New" w:cs="Courier New" w:hint="default"/>
      </w:rPr>
    </w:lvl>
    <w:lvl w:ilvl="8" w:tplc="081A0005">
      <w:start w:val="1"/>
      <w:numFmt w:val="bullet"/>
      <w:lvlText w:val=""/>
      <w:lvlJc w:val="left"/>
      <w:pPr>
        <w:tabs>
          <w:tab w:val="num" w:pos="6262"/>
        </w:tabs>
        <w:ind w:left="6262" w:hanging="360"/>
      </w:pPr>
      <w:rPr>
        <w:rFonts w:ascii="Wingdings" w:hAnsi="Wingdings" w:hint="default"/>
      </w:rPr>
    </w:lvl>
  </w:abstractNum>
  <w:abstractNum w:abstractNumId="1">
    <w:nsid w:val="25E457FE"/>
    <w:multiLevelType w:val="hybridMultilevel"/>
    <w:tmpl w:val="5978E0F4"/>
    <w:lvl w:ilvl="0" w:tplc="8BE445C4">
      <w:start w:val="1"/>
      <w:numFmt w:val="decimal"/>
      <w:lvlText w:val="%1."/>
      <w:lvlJc w:val="left"/>
      <w:pPr>
        <w:tabs>
          <w:tab w:val="num" w:pos="284"/>
        </w:tabs>
        <w:ind w:left="284" w:hanging="28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271BDE"/>
    <w:multiLevelType w:val="hybridMultilevel"/>
    <w:tmpl w:val="326A6F26"/>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
    <w:nsid w:val="5AF356C8"/>
    <w:multiLevelType w:val="hybridMultilevel"/>
    <w:tmpl w:val="1E8E9D7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
    <w:nsid w:val="780360B8"/>
    <w:multiLevelType w:val="hybridMultilevel"/>
    <w:tmpl w:val="88C8010C"/>
    <w:lvl w:ilvl="0" w:tplc="081A0001">
      <w:start w:val="1"/>
      <w:numFmt w:val="bullet"/>
      <w:lvlText w:val=""/>
      <w:lvlJc w:val="left"/>
      <w:pPr>
        <w:ind w:left="502" w:hanging="360"/>
      </w:pPr>
      <w:rPr>
        <w:rFonts w:ascii="Symbol" w:hAnsi="Symbol" w:hint="default"/>
      </w:rPr>
    </w:lvl>
    <w:lvl w:ilvl="1" w:tplc="141A0003">
      <w:start w:val="1"/>
      <w:numFmt w:val="bullet"/>
      <w:lvlText w:val="o"/>
      <w:lvlJc w:val="left"/>
      <w:pPr>
        <w:ind w:left="1222" w:hanging="360"/>
      </w:pPr>
      <w:rPr>
        <w:rFonts w:ascii="Courier New" w:hAnsi="Courier New" w:cs="Courier New" w:hint="default"/>
      </w:rPr>
    </w:lvl>
    <w:lvl w:ilvl="2" w:tplc="141A0005">
      <w:start w:val="1"/>
      <w:numFmt w:val="bullet"/>
      <w:lvlText w:val=""/>
      <w:lvlJc w:val="left"/>
      <w:pPr>
        <w:ind w:left="1942" w:hanging="360"/>
      </w:pPr>
      <w:rPr>
        <w:rFonts w:ascii="Wingdings" w:hAnsi="Wingdings" w:hint="default"/>
      </w:rPr>
    </w:lvl>
    <w:lvl w:ilvl="3" w:tplc="141A0001">
      <w:start w:val="1"/>
      <w:numFmt w:val="bullet"/>
      <w:lvlText w:val=""/>
      <w:lvlJc w:val="left"/>
      <w:pPr>
        <w:ind w:left="2662" w:hanging="360"/>
      </w:pPr>
      <w:rPr>
        <w:rFonts w:ascii="Symbol" w:hAnsi="Symbol" w:hint="default"/>
      </w:rPr>
    </w:lvl>
    <w:lvl w:ilvl="4" w:tplc="141A0003">
      <w:start w:val="1"/>
      <w:numFmt w:val="bullet"/>
      <w:lvlText w:val="o"/>
      <w:lvlJc w:val="left"/>
      <w:pPr>
        <w:ind w:left="3382" w:hanging="360"/>
      </w:pPr>
      <w:rPr>
        <w:rFonts w:ascii="Courier New" w:hAnsi="Courier New" w:cs="Courier New" w:hint="default"/>
      </w:rPr>
    </w:lvl>
    <w:lvl w:ilvl="5" w:tplc="141A0005">
      <w:start w:val="1"/>
      <w:numFmt w:val="bullet"/>
      <w:lvlText w:val=""/>
      <w:lvlJc w:val="left"/>
      <w:pPr>
        <w:ind w:left="4102" w:hanging="360"/>
      </w:pPr>
      <w:rPr>
        <w:rFonts w:ascii="Wingdings" w:hAnsi="Wingdings" w:hint="default"/>
      </w:rPr>
    </w:lvl>
    <w:lvl w:ilvl="6" w:tplc="141A0001">
      <w:start w:val="1"/>
      <w:numFmt w:val="bullet"/>
      <w:lvlText w:val=""/>
      <w:lvlJc w:val="left"/>
      <w:pPr>
        <w:ind w:left="4822" w:hanging="360"/>
      </w:pPr>
      <w:rPr>
        <w:rFonts w:ascii="Symbol" w:hAnsi="Symbol" w:hint="default"/>
      </w:rPr>
    </w:lvl>
    <w:lvl w:ilvl="7" w:tplc="141A0003">
      <w:start w:val="1"/>
      <w:numFmt w:val="bullet"/>
      <w:lvlText w:val="o"/>
      <w:lvlJc w:val="left"/>
      <w:pPr>
        <w:ind w:left="5542" w:hanging="360"/>
      </w:pPr>
      <w:rPr>
        <w:rFonts w:ascii="Courier New" w:hAnsi="Courier New" w:cs="Courier New" w:hint="default"/>
      </w:rPr>
    </w:lvl>
    <w:lvl w:ilvl="8" w:tplc="141A0005">
      <w:start w:val="1"/>
      <w:numFmt w:val="bullet"/>
      <w:lvlText w:val=""/>
      <w:lvlJc w:val="left"/>
      <w:pPr>
        <w:ind w:left="6262" w:hanging="360"/>
      </w:pPr>
      <w:rPr>
        <w:rFonts w:ascii="Wingdings" w:hAnsi="Wingdings" w:hint="default"/>
      </w:rPr>
    </w:lvl>
  </w:abstractNum>
  <w:abstractNum w:abstractNumId="5">
    <w:nsid w:val="7B81618E"/>
    <w:multiLevelType w:val="hybridMultilevel"/>
    <w:tmpl w:val="A5A40D8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A5"/>
    <w:rsid w:val="0003529B"/>
    <w:rsid w:val="00610BA5"/>
    <w:rsid w:val="00665BCF"/>
    <w:rsid w:val="008F314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A5"/>
    <w:pPr>
      <w:spacing w:after="0" w:line="240" w:lineRule="auto"/>
    </w:pPr>
    <w:rPr>
      <w:rFonts w:ascii="Times New Roman" w:eastAsia="Times New Roman" w:hAnsi="Times New Roman" w:cs="Times New Roman"/>
      <w:sz w:val="24"/>
      <w:szCs w:val="24"/>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10BA5"/>
    <w:rPr>
      <w:color w:val="0000FF"/>
      <w:u w:val="single"/>
    </w:rPr>
  </w:style>
  <w:style w:type="paragraph" w:styleId="BalloonText">
    <w:name w:val="Balloon Text"/>
    <w:basedOn w:val="Normal"/>
    <w:link w:val="BalloonTextChar"/>
    <w:uiPriority w:val="99"/>
    <w:semiHidden/>
    <w:unhideWhenUsed/>
    <w:rsid w:val="008F314F"/>
    <w:rPr>
      <w:rFonts w:ascii="Tahoma" w:hAnsi="Tahoma" w:cs="Tahoma"/>
      <w:sz w:val="16"/>
      <w:szCs w:val="16"/>
    </w:rPr>
  </w:style>
  <w:style w:type="character" w:customStyle="1" w:styleId="BalloonTextChar">
    <w:name w:val="Balloon Text Char"/>
    <w:basedOn w:val="DefaultParagraphFont"/>
    <w:link w:val="BalloonText"/>
    <w:uiPriority w:val="99"/>
    <w:semiHidden/>
    <w:rsid w:val="008F314F"/>
    <w:rPr>
      <w:rFonts w:ascii="Tahoma" w:eastAsia="Times New Roman" w:hAnsi="Tahoma" w:cs="Tahoma"/>
      <w:sz w:val="16"/>
      <w:szCs w:val="16"/>
      <w:lang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A5"/>
    <w:pPr>
      <w:spacing w:after="0" w:line="240" w:lineRule="auto"/>
    </w:pPr>
    <w:rPr>
      <w:rFonts w:ascii="Times New Roman" w:eastAsia="Times New Roman" w:hAnsi="Times New Roman" w:cs="Times New Roman"/>
      <w:sz w:val="24"/>
      <w:szCs w:val="24"/>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10BA5"/>
    <w:rPr>
      <w:color w:val="0000FF"/>
      <w:u w:val="single"/>
    </w:rPr>
  </w:style>
  <w:style w:type="paragraph" w:styleId="BalloonText">
    <w:name w:val="Balloon Text"/>
    <w:basedOn w:val="Normal"/>
    <w:link w:val="BalloonTextChar"/>
    <w:uiPriority w:val="99"/>
    <w:semiHidden/>
    <w:unhideWhenUsed/>
    <w:rsid w:val="008F314F"/>
    <w:rPr>
      <w:rFonts w:ascii="Tahoma" w:hAnsi="Tahoma" w:cs="Tahoma"/>
      <w:sz w:val="16"/>
      <w:szCs w:val="16"/>
    </w:rPr>
  </w:style>
  <w:style w:type="character" w:customStyle="1" w:styleId="BalloonTextChar">
    <w:name w:val="Balloon Text Char"/>
    <w:basedOn w:val="DefaultParagraphFont"/>
    <w:link w:val="BalloonText"/>
    <w:uiPriority w:val="99"/>
    <w:semiHidden/>
    <w:rsid w:val="008F314F"/>
    <w:rPr>
      <w:rFonts w:ascii="Tahoma" w:eastAsia="Times New Roman" w:hAnsi="Tahoma" w:cs="Tahoma"/>
      <w:sz w:val="16"/>
      <w:szCs w:val="16"/>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central.net" TargetMode="External"/><Relationship Id="rId3" Type="http://schemas.microsoft.com/office/2007/relationships/stylesWithEffects" Target="stylesWithEffects.xml"/><Relationship Id="rId7" Type="http://schemas.openxmlformats.org/officeDocument/2006/relationships/hyperlink" Target="http://www.bdcentra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dcentral.net/" TargetMode="External"/><Relationship Id="rId4" Type="http://schemas.openxmlformats.org/officeDocument/2006/relationships/settings" Target="settings.xml"/><Relationship Id="rId9" Type="http://schemas.openxmlformats.org/officeDocument/2006/relationships/hyperlink" Target="http://www.bdcentr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1795</Words>
  <Characters>10234</Characters>
  <Application>Microsoft Office Word</Application>
  <DocSecurity>0</DocSecurity>
  <Lines>85</Lines>
  <Paragraphs>24</Paragraphs>
  <ScaleCrop>false</ScaleCrop>
  <Company>Hewlett-Packard Company</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Jukan</dc:creator>
  <cp:lastModifiedBy>Alma Jukan</cp:lastModifiedBy>
  <cp:revision>3</cp:revision>
  <dcterms:created xsi:type="dcterms:W3CDTF">2022-01-14T07:18:00Z</dcterms:created>
  <dcterms:modified xsi:type="dcterms:W3CDTF">2022-01-14T08:47:00Z</dcterms:modified>
</cp:coreProperties>
</file>